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EC5" w:rsidRPr="006276F3" w:rsidRDefault="006A7613" w:rsidP="002004BE">
      <w:pPr>
        <w:spacing w:before="120" w:after="120" w:line="240" w:lineRule="auto"/>
        <w:rPr>
          <w:rFonts w:ascii="Times New Roman" w:hAnsi="Times New Roman"/>
          <w:sz w:val="24"/>
          <w:szCs w:val="24"/>
        </w:rPr>
      </w:pPr>
      <w:bookmarkStart w:id="0" w:name="_GoBack"/>
      <w:bookmarkEnd w:id="0"/>
      <w:r w:rsidRPr="006276F3">
        <w:rPr>
          <w:rFonts w:ascii="Times New Roman" w:hAnsi="Times New Roman"/>
          <w:noProof/>
          <w:sz w:val="24"/>
          <w:szCs w:val="24"/>
          <w:lang w:eastAsia="pl-PL"/>
        </w:rPr>
        <w:drawing>
          <wp:anchor distT="0" distB="0" distL="114300" distR="114300" simplePos="0" relativeHeight="251658240" behindDoc="0" locked="0" layoutInCell="1" allowOverlap="1" wp14:anchorId="4886E487" wp14:editId="79F9F458">
            <wp:simplePos x="0" y="0"/>
            <wp:positionH relativeFrom="page">
              <wp:align>left</wp:align>
            </wp:positionH>
            <wp:positionV relativeFrom="page">
              <wp:align>bottom</wp:align>
            </wp:positionV>
            <wp:extent cx="1572895" cy="10684510"/>
            <wp:effectExtent l="0" t="0" r="8255" b="2540"/>
            <wp:wrapSquare wrapText="bothSides"/>
            <wp:docPr id="17"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72895" cy="10684510"/>
                    </a:xfrm>
                    <a:prstGeom prst="rect">
                      <a:avLst/>
                    </a:prstGeom>
                    <a:noFill/>
                  </pic:spPr>
                </pic:pic>
              </a:graphicData>
            </a:graphic>
          </wp:anchor>
        </w:drawing>
      </w:r>
      <w:r w:rsidRPr="006276F3">
        <w:rPr>
          <w:rFonts w:ascii="Times New Roman" w:hAnsi="Times New Roman"/>
          <w:noProof/>
          <w:sz w:val="24"/>
          <w:szCs w:val="24"/>
          <w:lang w:eastAsia="pl-PL"/>
        </w:rPr>
        <w:drawing>
          <wp:anchor distT="0" distB="0" distL="114300" distR="114300" simplePos="0" relativeHeight="251659264" behindDoc="0" locked="0" layoutInCell="1" allowOverlap="1" wp14:anchorId="051FC3FE" wp14:editId="2EAE89AB">
            <wp:simplePos x="0" y="0"/>
            <wp:positionH relativeFrom="page">
              <wp:posOffset>1853565</wp:posOffset>
            </wp:positionH>
            <wp:positionV relativeFrom="page">
              <wp:posOffset>254000</wp:posOffset>
            </wp:positionV>
            <wp:extent cx="896620" cy="806450"/>
            <wp:effectExtent l="0" t="0" r="0" b="0"/>
            <wp:wrapSquare wrapText="bothSides"/>
            <wp:docPr id="16"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96620" cy="806450"/>
                    </a:xfrm>
                    <a:prstGeom prst="rect">
                      <a:avLst/>
                    </a:prstGeom>
                    <a:noFill/>
                  </pic:spPr>
                </pic:pic>
              </a:graphicData>
            </a:graphic>
          </wp:anchor>
        </w:drawing>
      </w:r>
    </w:p>
    <w:p w:rsidR="00295EC5" w:rsidRPr="006276F3" w:rsidRDefault="00295EC5" w:rsidP="00DF729E">
      <w:pPr>
        <w:spacing w:before="120" w:after="120" w:line="240" w:lineRule="auto"/>
        <w:jc w:val="center"/>
        <w:rPr>
          <w:rFonts w:ascii="Times New Roman" w:hAnsi="Times New Roman"/>
          <w:sz w:val="24"/>
          <w:szCs w:val="24"/>
        </w:rPr>
      </w:pPr>
    </w:p>
    <w:p w:rsidR="00295EC5" w:rsidRPr="006276F3" w:rsidRDefault="00295EC5" w:rsidP="00DF729E">
      <w:pPr>
        <w:spacing w:before="120" w:after="120" w:line="240" w:lineRule="auto"/>
        <w:jc w:val="center"/>
        <w:rPr>
          <w:rFonts w:ascii="Times New Roman" w:hAnsi="Times New Roman"/>
          <w:sz w:val="24"/>
          <w:szCs w:val="24"/>
        </w:rPr>
      </w:pPr>
    </w:p>
    <w:p w:rsidR="00295EC5" w:rsidRPr="006276F3" w:rsidRDefault="00295EC5" w:rsidP="00DF729E">
      <w:pPr>
        <w:spacing w:before="120" w:after="120" w:line="240" w:lineRule="auto"/>
        <w:jc w:val="center"/>
        <w:rPr>
          <w:rFonts w:ascii="Times New Roman" w:hAnsi="Times New Roman"/>
          <w:sz w:val="24"/>
          <w:szCs w:val="24"/>
        </w:rPr>
      </w:pPr>
    </w:p>
    <w:p w:rsidR="00295EC5" w:rsidRPr="006276F3" w:rsidRDefault="00295EC5" w:rsidP="00DF729E">
      <w:pPr>
        <w:spacing w:before="120" w:after="120" w:line="240" w:lineRule="auto"/>
        <w:jc w:val="center"/>
        <w:rPr>
          <w:rFonts w:ascii="Times New Roman" w:hAnsi="Times New Roman"/>
          <w:sz w:val="24"/>
          <w:szCs w:val="24"/>
        </w:rPr>
      </w:pPr>
      <w:bookmarkStart w:id="1" w:name="_Toc376068006"/>
    </w:p>
    <w:p w:rsidR="00295EC5" w:rsidRPr="006276F3" w:rsidRDefault="00295EC5" w:rsidP="00DF729E">
      <w:pPr>
        <w:spacing w:before="120" w:after="120" w:line="240" w:lineRule="auto"/>
        <w:jc w:val="center"/>
        <w:rPr>
          <w:rFonts w:ascii="Times New Roman" w:hAnsi="Times New Roman"/>
          <w:sz w:val="24"/>
          <w:szCs w:val="24"/>
        </w:rPr>
      </w:pPr>
    </w:p>
    <w:p w:rsidR="00295EC5" w:rsidRPr="006276F3" w:rsidRDefault="00295EC5" w:rsidP="00DF729E">
      <w:pPr>
        <w:spacing w:before="120" w:after="120" w:line="240" w:lineRule="auto"/>
        <w:jc w:val="center"/>
        <w:rPr>
          <w:rFonts w:ascii="Times New Roman" w:hAnsi="Times New Roman"/>
          <w:sz w:val="24"/>
          <w:szCs w:val="24"/>
        </w:rPr>
      </w:pPr>
    </w:p>
    <w:p w:rsidR="00295EC5" w:rsidRPr="006276F3" w:rsidRDefault="006A7613" w:rsidP="006276F3">
      <w:pPr>
        <w:spacing w:before="120" w:after="120" w:line="240" w:lineRule="auto"/>
        <w:jc w:val="center"/>
        <w:rPr>
          <w:rFonts w:ascii="Times New Roman" w:hAnsi="Times New Roman"/>
          <w:sz w:val="24"/>
          <w:szCs w:val="24"/>
        </w:rPr>
      </w:pPr>
      <w:r w:rsidRPr="006276F3">
        <w:rPr>
          <w:rFonts w:ascii="Times New Roman" w:hAnsi="Times New Roman"/>
          <w:noProof/>
          <w:sz w:val="24"/>
          <w:szCs w:val="24"/>
          <w:lang w:eastAsia="pl-PL"/>
        </w:rPr>
        <w:drawing>
          <wp:anchor distT="0" distB="0" distL="114300" distR="114300" simplePos="0" relativeHeight="251661312" behindDoc="0" locked="0" layoutInCell="1" allowOverlap="1" wp14:anchorId="61EAB603" wp14:editId="045569F5">
            <wp:simplePos x="0" y="0"/>
            <wp:positionH relativeFrom="column">
              <wp:posOffset>1903861</wp:posOffset>
            </wp:positionH>
            <wp:positionV relativeFrom="paragraph">
              <wp:posOffset>165843</wp:posOffset>
            </wp:positionV>
            <wp:extent cx="2744470" cy="1381760"/>
            <wp:effectExtent l="19050" t="0" r="0" b="0"/>
            <wp:wrapSquare wrapText="bothSides"/>
            <wp:docPr id="14"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44470" cy="1381760"/>
                    </a:xfrm>
                    <a:prstGeom prst="rect">
                      <a:avLst/>
                    </a:prstGeom>
                    <a:noFill/>
                  </pic:spPr>
                </pic:pic>
              </a:graphicData>
            </a:graphic>
          </wp:anchor>
        </w:drawing>
      </w: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295EC5" w:rsidRPr="006276F3" w:rsidRDefault="00295EC5" w:rsidP="006276F3">
      <w:pPr>
        <w:spacing w:before="120" w:after="120" w:line="240" w:lineRule="auto"/>
        <w:jc w:val="center"/>
        <w:rPr>
          <w:rFonts w:ascii="Times New Roman" w:hAnsi="Times New Roman"/>
          <w:sz w:val="24"/>
          <w:szCs w:val="24"/>
        </w:rPr>
      </w:pPr>
    </w:p>
    <w:p w:rsidR="00145ECA" w:rsidRPr="006276F3" w:rsidRDefault="00145ECA" w:rsidP="006276F3">
      <w:pPr>
        <w:spacing w:before="120" w:after="120" w:line="240" w:lineRule="auto"/>
        <w:jc w:val="center"/>
        <w:rPr>
          <w:rFonts w:ascii="Times New Roman" w:hAnsi="Times New Roman"/>
          <w:sz w:val="24"/>
          <w:szCs w:val="24"/>
        </w:rPr>
      </w:pPr>
    </w:p>
    <w:p w:rsidR="00EA0015" w:rsidRPr="006276F3" w:rsidRDefault="00EA0015" w:rsidP="006276F3">
      <w:pPr>
        <w:spacing w:before="120" w:after="120" w:line="240" w:lineRule="auto"/>
        <w:jc w:val="center"/>
        <w:rPr>
          <w:rFonts w:ascii="Times New Roman" w:hAnsi="Times New Roman"/>
          <w:sz w:val="24"/>
          <w:szCs w:val="24"/>
        </w:rPr>
      </w:pPr>
    </w:p>
    <w:p w:rsidR="00C44564" w:rsidRPr="00C44564" w:rsidRDefault="00C44564" w:rsidP="00C44564">
      <w:pPr>
        <w:jc w:val="center"/>
        <w:rPr>
          <w:b/>
          <w:i/>
          <w:sz w:val="44"/>
          <w:szCs w:val="44"/>
        </w:rPr>
      </w:pPr>
      <w:bookmarkStart w:id="2" w:name="_Toc376068007"/>
      <w:bookmarkEnd w:id="1"/>
      <w:r w:rsidRPr="00C44564">
        <w:rPr>
          <w:b/>
          <w:i/>
          <w:sz w:val="44"/>
          <w:szCs w:val="44"/>
        </w:rPr>
        <w:t>Krajowa Informacja Podatkowa</w:t>
      </w:r>
    </w:p>
    <w:p w:rsidR="00C44564" w:rsidRPr="00C44564" w:rsidRDefault="00DF729E" w:rsidP="00C44564">
      <w:pPr>
        <w:jc w:val="center"/>
        <w:rPr>
          <w:b/>
          <w:i/>
          <w:sz w:val="44"/>
          <w:szCs w:val="44"/>
        </w:rPr>
      </w:pPr>
      <w:r>
        <w:rPr>
          <w:b/>
          <w:i/>
          <w:sz w:val="44"/>
          <w:szCs w:val="44"/>
        </w:rPr>
        <w:t>−</w:t>
      </w:r>
      <w:r w:rsidR="00C44564" w:rsidRPr="00C44564">
        <w:rPr>
          <w:b/>
          <w:i/>
          <w:sz w:val="44"/>
          <w:szCs w:val="44"/>
        </w:rPr>
        <w:t xml:space="preserve"> 10 lat w Polsce</w:t>
      </w:r>
    </w:p>
    <w:p w:rsidR="00636116" w:rsidRPr="006276F3" w:rsidRDefault="00636116" w:rsidP="006276F3">
      <w:pPr>
        <w:spacing w:before="120" w:after="120" w:line="240" w:lineRule="auto"/>
        <w:jc w:val="center"/>
        <w:rPr>
          <w:rFonts w:ascii="Times New Roman" w:hAnsi="Times New Roman"/>
          <w:sz w:val="24"/>
          <w:szCs w:val="24"/>
        </w:rPr>
      </w:pPr>
    </w:p>
    <w:p w:rsidR="00636116" w:rsidRPr="006276F3" w:rsidRDefault="00636116" w:rsidP="006276F3">
      <w:pPr>
        <w:spacing w:before="120" w:after="120" w:line="240" w:lineRule="auto"/>
        <w:jc w:val="center"/>
        <w:rPr>
          <w:rFonts w:ascii="Times New Roman" w:hAnsi="Times New Roman"/>
          <w:sz w:val="24"/>
          <w:szCs w:val="24"/>
        </w:rPr>
      </w:pPr>
    </w:p>
    <w:p w:rsidR="00207709" w:rsidRPr="006276F3" w:rsidRDefault="00207709" w:rsidP="006276F3">
      <w:pPr>
        <w:spacing w:before="120" w:after="120" w:line="240" w:lineRule="auto"/>
        <w:jc w:val="center"/>
        <w:rPr>
          <w:rFonts w:ascii="Times New Roman" w:hAnsi="Times New Roman"/>
          <w:sz w:val="24"/>
          <w:szCs w:val="24"/>
        </w:rPr>
      </w:pPr>
    </w:p>
    <w:p w:rsidR="00207709" w:rsidRPr="006276F3" w:rsidRDefault="00207709" w:rsidP="006276F3">
      <w:pPr>
        <w:spacing w:before="120" w:after="120" w:line="240" w:lineRule="auto"/>
        <w:jc w:val="center"/>
        <w:rPr>
          <w:rFonts w:ascii="Times New Roman" w:hAnsi="Times New Roman"/>
          <w:sz w:val="24"/>
          <w:szCs w:val="24"/>
        </w:rPr>
      </w:pPr>
    </w:p>
    <w:p w:rsidR="00207709" w:rsidRPr="006276F3" w:rsidRDefault="00207709" w:rsidP="006276F3">
      <w:pPr>
        <w:spacing w:before="120" w:after="120" w:line="240" w:lineRule="auto"/>
        <w:jc w:val="center"/>
        <w:rPr>
          <w:rFonts w:ascii="Times New Roman" w:hAnsi="Times New Roman"/>
          <w:sz w:val="24"/>
          <w:szCs w:val="24"/>
        </w:rPr>
      </w:pPr>
    </w:p>
    <w:p w:rsidR="002E1A83" w:rsidRPr="006276F3" w:rsidRDefault="002E1A83" w:rsidP="006276F3">
      <w:pPr>
        <w:spacing w:before="120" w:after="120" w:line="240" w:lineRule="auto"/>
        <w:jc w:val="center"/>
        <w:rPr>
          <w:rFonts w:ascii="Times New Roman" w:hAnsi="Times New Roman"/>
          <w:sz w:val="24"/>
          <w:szCs w:val="24"/>
        </w:rPr>
      </w:pPr>
    </w:p>
    <w:p w:rsidR="002E1A83" w:rsidRDefault="002E1A83" w:rsidP="006276F3">
      <w:pPr>
        <w:spacing w:before="120" w:after="120" w:line="240" w:lineRule="auto"/>
        <w:jc w:val="center"/>
        <w:rPr>
          <w:rFonts w:ascii="Times New Roman" w:hAnsi="Times New Roman"/>
          <w:sz w:val="24"/>
          <w:szCs w:val="24"/>
        </w:rPr>
      </w:pPr>
    </w:p>
    <w:p w:rsidR="00A41FA1" w:rsidRDefault="00A41FA1" w:rsidP="006276F3">
      <w:pPr>
        <w:spacing w:before="120" w:after="120" w:line="240" w:lineRule="auto"/>
        <w:jc w:val="center"/>
        <w:rPr>
          <w:rFonts w:ascii="Times New Roman" w:hAnsi="Times New Roman"/>
          <w:sz w:val="24"/>
          <w:szCs w:val="24"/>
        </w:rPr>
      </w:pPr>
    </w:p>
    <w:p w:rsidR="005B0691" w:rsidRDefault="005B0691" w:rsidP="006276F3">
      <w:pPr>
        <w:spacing w:before="120" w:after="120" w:line="240" w:lineRule="auto"/>
        <w:jc w:val="center"/>
        <w:rPr>
          <w:rFonts w:ascii="Times New Roman" w:hAnsi="Times New Roman"/>
          <w:sz w:val="24"/>
          <w:szCs w:val="24"/>
        </w:rPr>
      </w:pPr>
    </w:p>
    <w:p w:rsidR="005B0691" w:rsidRDefault="005B0691" w:rsidP="006276F3">
      <w:pPr>
        <w:spacing w:before="120" w:after="120" w:line="240" w:lineRule="auto"/>
        <w:jc w:val="center"/>
        <w:rPr>
          <w:rFonts w:ascii="Times New Roman" w:hAnsi="Times New Roman"/>
          <w:sz w:val="24"/>
          <w:szCs w:val="24"/>
        </w:rPr>
      </w:pPr>
    </w:p>
    <w:p w:rsidR="008F43BE" w:rsidRPr="00DF729E" w:rsidRDefault="00C44564" w:rsidP="006276F3">
      <w:pPr>
        <w:spacing w:before="120" w:after="120" w:line="240" w:lineRule="auto"/>
        <w:jc w:val="center"/>
        <w:rPr>
          <w:rFonts w:asciiTheme="minorHAnsi" w:hAnsiTheme="minorHAnsi"/>
          <w:sz w:val="24"/>
          <w:szCs w:val="24"/>
        </w:rPr>
      </w:pPr>
      <w:r w:rsidRPr="00DF729E">
        <w:rPr>
          <w:rFonts w:asciiTheme="minorHAnsi" w:hAnsiTheme="minorHAnsi"/>
          <w:sz w:val="24"/>
          <w:szCs w:val="24"/>
        </w:rPr>
        <w:t xml:space="preserve">1 lipca </w:t>
      </w:r>
      <w:r w:rsidR="00295EC5" w:rsidRPr="00DF729E">
        <w:rPr>
          <w:rFonts w:asciiTheme="minorHAnsi" w:hAnsiTheme="minorHAnsi"/>
          <w:sz w:val="24"/>
          <w:szCs w:val="24"/>
        </w:rPr>
        <w:t>201</w:t>
      </w:r>
      <w:r w:rsidRPr="00DF729E">
        <w:rPr>
          <w:rFonts w:asciiTheme="minorHAnsi" w:hAnsiTheme="minorHAnsi"/>
          <w:sz w:val="24"/>
          <w:szCs w:val="24"/>
        </w:rPr>
        <w:t>6</w:t>
      </w:r>
      <w:r w:rsidR="00295EC5" w:rsidRPr="00DF729E">
        <w:rPr>
          <w:rFonts w:asciiTheme="minorHAnsi" w:hAnsiTheme="minorHAnsi"/>
          <w:sz w:val="24"/>
          <w:szCs w:val="24"/>
        </w:rPr>
        <w:t xml:space="preserve"> r.</w:t>
      </w:r>
      <w:bookmarkEnd w:id="2"/>
    </w:p>
    <w:p w:rsidR="00B056D9" w:rsidRPr="006276F3" w:rsidRDefault="00B056D9" w:rsidP="00057574">
      <w:pPr>
        <w:spacing w:before="120" w:after="120" w:line="240" w:lineRule="auto"/>
        <w:jc w:val="center"/>
        <w:rPr>
          <w:rFonts w:ascii="Times New Roman" w:hAnsi="Times New Roman"/>
          <w:sz w:val="24"/>
          <w:szCs w:val="24"/>
        </w:rPr>
      </w:pPr>
    </w:p>
    <w:p w:rsidR="00952A3D" w:rsidRPr="006276F3" w:rsidRDefault="00952A3D" w:rsidP="00DF729E">
      <w:pPr>
        <w:spacing w:before="120" w:after="120" w:line="240" w:lineRule="auto"/>
        <w:jc w:val="center"/>
        <w:rPr>
          <w:rFonts w:ascii="Times New Roman" w:hAnsi="Times New Roman"/>
          <w:sz w:val="24"/>
          <w:szCs w:val="24"/>
        </w:rPr>
      </w:pPr>
    </w:p>
    <w:p w:rsidR="00E9402A" w:rsidRPr="00DF729E" w:rsidRDefault="00E9402A" w:rsidP="006276F3">
      <w:pPr>
        <w:pBdr>
          <w:top w:val="single" w:sz="4" w:space="1" w:color="auto"/>
          <w:bottom w:val="single" w:sz="4" w:space="1" w:color="auto"/>
          <w:between w:val="single" w:sz="4" w:space="1" w:color="auto"/>
        </w:pBdr>
        <w:spacing w:before="120" w:after="120" w:line="240" w:lineRule="auto"/>
        <w:ind w:left="357"/>
        <w:contextualSpacing/>
        <w:jc w:val="both"/>
        <w:rPr>
          <w:rFonts w:asciiTheme="minorHAnsi" w:hAnsiTheme="minorHAnsi"/>
          <w:b/>
          <w:smallCaps/>
          <w:color w:val="365F91" w:themeColor="accent1" w:themeShade="BF"/>
          <w:sz w:val="24"/>
          <w:szCs w:val="24"/>
        </w:rPr>
      </w:pPr>
      <w:r w:rsidRPr="00DF729E">
        <w:rPr>
          <w:rFonts w:asciiTheme="minorHAnsi" w:hAnsiTheme="minorHAnsi"/>
          <w:b/>
          <w:smallCaps/>
          <w:color w:val="365F91" w:themeColor="accent1" w:themeShade="BF"/>
          <w:sz w:val="24"/>
          <w:szCs w:val="24"/>
        </w:rPr>
        <w:lastRenderedPageBreak/>
        <w:t>Spis treści</w:t>
      </w:r>
    </w:p>
    <w:sdt>
      <w:sdtPr>
        <w:rPr>
          <w:rFonts w:ascii="Times New Roman" w:hAnsi="Times New Roman"/>
          <w:color w:val="auto"/>
          <w:sz w:val="22"/>
          <w:szCs w:val="22"/>
          <w:lang w:eastAsia="en-US"/>
        </w:rPr>
        <w:id w:val="-2127841307"/>
        <w:docPartObj>
          <w:docPartGallery w:val="Table of Contents"/>
          <w:docPartUnique/>
        </w:docPartObj>
      </w:sdtPr>
      <w:sdtEndPr>
        <w:rPr>
          <w:b/>
          <w:bCs/>
        </w:rPr>
      </w:sdtEndPr>
      <w:sdtContent>
        <w:p w:rsidR="00B056D9" w:rsidRPr="00DF729E" w:rsidRDefault="00B056D9" w:rsidP="002E2D29">
          <w:pPr>
            <w:pStyle w:val="Nagwekspisutreci"/>
            <w:spacing w:before="120" w:after="120" w:line="240" w:lineRule="auto"/>
            <w:jc w:val="both"/>
            <w:rPr>
              <w:rFonts w:asciiTheme="minorHAnsi" w:hAnsiTheme="minorHAnsi"/>
              <w:color w:val="auto"/>
            </w:rPr>
          </w:pPr>
        </w:p>
        <w:p w:rsidR="00752398" w:rsidRPr="00DF729E" w:rsidRDefault="00E15396">
          <w:pPr>
            <w:pStyle w:val="Spistreci1"/>
            <w:rPr>
              <w:rFonts w:asciiTheme="minorHAnsi" w:eastAsiaTheme="minorEastAsia" w:hAnsiTheme="minorHAnsi" w:cstheme="minorBidi"/>
              <w:noProof/>
              <w:lang w:eastAsia="pl-PL"/>
            </w:rPr>
          </w:pPr>
          <w:r w:rsidRPr="00DF729E">
            <w:rPr>
              <w:rFonts w:asciiTheme="minorHAnsi" w:hAnsiTheme="minorHAnsi"/>
              <w:color w:val="365F91" w:themeColor="accent1" w:themeShade="BF"/>
              <w:sz w:val="24"/>
              <w:szCs w:val="24"/>
            </w:rPr>
            <w:fldChar w:fldCharType="begin"/>
          </w:r>
          <w:r w:rsidR="00B056D9" w:rsidRPr="00DF729E">
            <w:rPr>
              <w:rFonts w:asciiTheme="minorHAnsi" w:hAnsiTheme="minorHAnsi"/>
              <w:color w:val="365F91" w:themeColor="accent1" w:themeShade="BF"/>
              <w:sz w:val="24"/>
              <w:szCs w:val="24"/>
            </w:rPr>
            <w:instrText xml:space="preserve"> TOC \o "1-3" \h \z \u </w:instrText>
          </w:r>
          <w:r w:rsidRPr="00DF729E">
            <w:rPr>
              <w:rFonts w:asciiTheme="minorHAnsi" w:hAnsiTheme="minorHAnsi"/>
              <w:color w:val="365F91" w:themeColor="accent1" w:themeShade="BF"/>
              <w:sz w:val="24"/>
              <w:szCs w:val="24"/>
            </w:rPr>
            <w:fldChar w:fldCharType="separate"/>
          </w:r>
          <w:hyperlink w:anchor="_Toc454976070" w:history="1">
            <w:r w:rsidR="00752398" w:rsidRPr="00DF729E">
              <w:rPr>
                <w:rStyle w:val="Hipercze"/>
                <w:rFonts w:asciiTheme="minorHAnsi" w:hAnsiTheme="minorHAnsi"/>
                <w:b/>
                <w:noProof/>
              </w:rPr>
              <w:t>I.</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POWSTANIE.</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_Toc454976070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3</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1" w:history="1">
            <w:r w:rsidR="00752398" w:rsidRPr="00DF729E">
              <w:rPr>
                <w:rStyle w:val="Hipercze"/>
                <w:rFonts w:asciiTheme="minorHAnsi" w:hAnsiTheme="minorHAnsi"/>
                <w:b/>
                <w:noProof/>
              </w:rPr>
              <w:t>II.</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EWOLUCJA DZIAŁAŃ KRAJOWEJ INFORMACJI PODATKOWEJ</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_Toc454976071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6</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2" w:history="1">
            <w:r w:rsidR="00752398" w:rsidRPr="00DF729E">
              <w:rPr>
                <w:rStyle w:val="Hipercze"/>
                <w:rFonts w:asciiTheme="minorHAnsi" w:hAnsiTheme="minorHAnsi"/>
                <w:b/>
                <w:noProof/>
              </w:rPr>
              <w:t>1.</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INFOLINIA.</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_Toc454976072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6</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3" w:history="1">
            <w:r w:rsidR="00752398" w:rsidRPr="00DF729E">
              <w:rPr>
                <w:rStyle w:val="Hipercze"/>
                <w:rFonts w:asciiTheme="minorHAnsi" w:hAnsiTheme="minorHAnsi"/>
                <w:b/>
                <w:noProof/>
              </w:rPr>
              <w:t>2.</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INTERPRETACJE INDYWIDUALNE.</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_Toc454976073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7</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4" w:history="1">
            <w:r w:rsidR="00752398" w:rsidRPr="00DF729E">
              <w:rPr>
                <w:rStyle w:val="Hipercze"/>
                <w:rFonts w:asciiTheme="minorHAnsi" w:hAnsiTheme="minorHAnsi"/>
                <w:b/>
                <w:noProof/>
              </w:rPr>
              <w:t>3.</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POSTANOWIENIA – INTERPETACJE OGÓLNE.</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_Toc454976074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8</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5" w:history="1">
            <w:r w:rsidR="00752398" w:rsidRPr="00DF729E">
              <w:rPr>
                <w:rStyle w:val="Hipercze"/>
                <w:rFonts w:asciiTheme="minorHAnsi" w:hAnsiTheme="minorHAnsi"/>
                <w:b/>
                <w:noProof/>
              </w:rPr>
              <w:t>III.</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ROZMIAR DZIAŁAŃ WYKONYWANYCH PRZEZ KIP.</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_Toc454976075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9</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6" w:history="1">
            <w:r w:rsidR="00752398" w:rsidRPr="00DF729E">
              <w:rPr>
                <w:rStyle w:val="Hipercze"/>
                <w:rFonts w:asciiTheme="minorHAnsi" w:hAnsiTheme="minorHAnsi"/>
                <w:b/>
                <w:noProof/>
              </w:rPr>
              <w:t>1.</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INFOLINIA.</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_Toc454976076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9</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7" w:history="1">
            <w:r w:rsidR="00752398" w:rsidRPr="00DF729E">
              <w:rPr>
                <w:rStyle w:val="Hipercze"/>
                <w:rFonts w:asciiTheme="minorHAnsi" w:hAnsiTheme="minorHAnsi"/>
                <w:b/>
                <w:noProof/>
              </w:rPr>
              <w:t>2.</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INTERPRETACJE PRZEPISÓW PRAWA PODATKOWEGO.</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_Toc454976077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11</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8" w:history="1">
            <w:r w:rsidR="00752398" w:rsidRPr="00DF729E">
              <w:rPr>
                <w:rStyle w:val="Hipercze"/>
                <w:rFonts w:asciiTheme="minorHAnsi" w:hAnsiTheme="minorHAnsi"/>
                <w:b/>
                <w:noProof/>
              </w:rPr>
              <w:t>IV.</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WYNIKI BADAŃ ANKIETOWYCH.</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_Toc454976078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12</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79" w:history="1">
            <w:r w:rsidR="00752398" w:rsidRPr="00DF729E">
              <w:rPr>
                <w:rStyle w:val="Hipercze"/>
                <w:rFonts w:asciiTheme="minorHAnsi" w:hAnsiTheme="minorHAnsi"/>
                <w:b/>
                <w:noProof/>
              </w:rPr>
              <w:t>V.</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ZASOBY KRAJOWEJ INFORMACJI PODATKOWEJ.</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_Toc454976079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12</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80" w:history="1">
            <w:r w:rsidR="00752398" w:rsidRPr="00DF729E">
              <w:rPr>
                <w:rStyle w:val="Hipercze"/>
                <w:rFonts w:asciiTheme="minorHAnsi" w:hAnsiTheme="minorHAnsi"/>
                <w:b/>
                <w:noProof/>
              </w:rPr>
              <w:t>IV.</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KIERUNKI DALSZEGO ROZWOJU.</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_Toc454976080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13</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81" w:history="1">
            <w:r w:rsidR="00752398" w:rsidRPr="00DF729E">
              <w:rPr>
                <w:rStyle w:val="Hipercze"/>
                <w:rFonts w:asciiTheme="minorHAnsi" w:hAnsiTheme="minorHAnsi"/>
                <w:b/>
                <w:noProof/>
              </w:rPr>
              <w:t>1.</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ZMIANY ORGANIZACYJNE – CENTRALNE ZARZĄDZANIE ZADANIAMI.</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_Toc454976081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13</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82" w:history="1">
            <w:r w:rsidR="00752398" w:rsidRPr="00DF729E">
              <w:rPr>
                <w:rStyle w:val="Hipercze"/>
                <w:rFonts w:asciiTheme="minorHAnsi" w:hAnsiTheme="minorHAnsi"/>
                <w:b/>
                <w:noProof/>
              </w:rPr>
              <w:t>2.</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BEZPOŚREDNIA OBSŁUGA – ROZWÓJ INFOLINII I NOWYCH KANAŁÓW KOMUNIKACJI.</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_Toc454976082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14</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83" w:history="1">
            <w:r w:rsidR="00752398" w:rsidRPr="00DF729E">
              <w:rPr>
                <w:rStyle w:val="Hipercze"/>
                <w:rFonts w:asciiTheme="minorHAnsi" w:hAnsiTheme="minorHAnsi"/>
                <w:b/>
                <w:noProof/>
              </w:rPr>
              <w:t>3.</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INTERPRETACJE INDYWIDUALNE.</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_Toc454976083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15</w:t>
            </w:r>
            <w:r w:rsidR="00752398" w:rsidRPr="00DF729E">
              <w:rPr>
                <w:rFonts w:asciiTheme="minorHAnsi" w:hAnsiTheme="minorHAnsi"/>
                <w:noProof/>
                <w:webHidden/>
              </w:rPr>
              <w:fldChar w:fldCharType="end"/>
            </w:r>
          </w:hyperlink>
        </w:p>
        <w:p w:rsidR="00752398" w:rsidRPr="00DF729E" w:rsidRDefault="004E6662">
          <w:pPr>
            <w:pStyle w:val="Spistreci1"/>
            <w:rPr>
              <w:rFonts w:asciiTheme="minorHAnsi" w:eastAsiaTheme="minorEastAsia" w:hAnsiTheme="minorHAnsi" w:cstheme="minorBidi"/>
              <w:noProof/>
              <w:lang w:eastAsia="pl-PL"/>
            </w:rPr>
          </w:pPr>
          <w:hyperlink w:anchor="_Toc454976084" w:history="1">
            <w:r w:rsidR="00752398" w:rsidRPr="00DF729E">
              <w:rPr>
                <w:rStyle w:val="Hipercze"/>
                <w:rFonts w:asciiTheme="minorHAnsi" w:hAnsiTheme="minorHAnsi"/>
                <w:b/>
                <w:noProof/>
              </w:rPr>
              <w:t>4.</w:t>
            </w:r>
            <w:r w:rsidR="00752398" w:rsidRPr="00DF729E">
              <w:rPr>
                <w:rFonts w:asciiTheme="minorHAnsi" w:eastAsiaTheme="minorEastAsia" w:hAnsiTheme="minorHAnsi" w:cstheme="minorBidi"/>
                <w:noProof/>
                <w:lang w:eastAsia="pl-PL"/>
              </w:rPr>
              <w:tab/>
            </w:r>
            <w:r w:rsidR="00752398" w:rsidRPr="00DF729E">
              <w:rPr>
                <w:rStyle w:val="Hipercze"/>
                <w:rFonts w:asciiTheme="minorHAnsi" w:hAnsiTheme="minorHAnsi"/>
                <w:b/>
                <w:smallCaps/>
                <w:noProof/>
              </w:rPr>
              <w:t>ZWIĘKSZENIE KATALOGU UDOSTEPNIANYCH INFORMACJI.</w:t>
            </w:r>
            <w:r w:rsidR="00752398" w:rsidRPr="00DF729E">
              <w:rPr>
                <w:rFonts w:asciiTheme="minorHAnsi" w:hAnsiTheme="minorHAnsi"/>
                <w:noProof/>
                <w:webHidden/>
              </w:rPr>
              <w:tab/>
            </w:r>
            <w:r w:rsidR="00752398" w:rsidRPr="00DF729E">
              <w:rPr>
                <w:rFonts w:asciiTheme="minorHAnsi" w:hAnsiTheme="minorHAnsi"/>
                <w:noProof/>
                <w:webHidden/>
              </w:rPr>
              <w:fldChar w:fldCharType="begin"/>
            </w:r>
            <w:r w:rsidR="00752398" w:rsidRPr="00DF729E">
              <w:rPr>
                <w:rFonts w:asciiTheme="minorHAnsi" w:hAnsiTheme="minorHAnsi"/>
                <w:noProof/>
                <w:webHidden/>
              </w:rPr>
              <w:instrText xml:space="preserve"> PAGEREF _Toc454976084 \h </w:instrText>
            </w:r>
            <w:r w:rsidR="00752398" w:rsidRPr="00DF729E">
              <w:rPr>
                <w:rFonts w:asciiTheme="minorHAnsi" w:hAnsiTheme="minorHAnsi"/>
                <w:noProof/>
                <w:webHidden/>
              </w:rPr>
            </w:r>
            <w:r w:rsidR="00752398" w:rsidRPr="00DF729E">
              <w:rPr>
                <w:rFonts w:asciiTheme="minorHAnsi" w:hAnsiTheme="minorHAnsi"/>
                <w:noProof/>
                <w:webHidden/>
              </w:rPr>
              <w:fldChar w:fldCharType="separate"/>
            </w:r>
            <w:r w:rsidR="00752398" w:rsidRPr="00DF729E">
              <w:rPr>
                <w:rFonts w:asciiTheme="minorHAnsi" w:hAnsiTheme="minorHAnsi"/>
                <w:noProof/>
                <w:webHidden/>
              </w:rPr>
              <w:t>16</w:t>
            </w:r>
            <w:r w:rsidR="00752398" w:rsidRPr="00DF729E">
              <w:rPr>
                <w:rFonts w:asciiTheme="minorHAnsi" w:hAnsiTheme="minorHAnsi"/>
                <w:noProof/>
                <w:webHidden/>
              </w:rPr>
              <w:fldChar w:fldCharType="end"/>
            </w:r>
          </w:hyperlink>
        </w:p>
        <w:p w:rsidR="00B056D9" w:rsidRPr="00DF729E" w:rsidRDefault="00E15396" w:rsidP="00DF729E">
          <w:pPr>
            <w:spacing w:before="120" w:after="120" w:line="360" w:lineRule="auto"/>
            <w:jc w:val="both"/>
            <w:rPr>
              <w:rFonts w:ascii="Times New Roman" w:hAnsi="Times New Roman"/>
            </w:rPr>
          </w:pPr>
          <w:r w:rsidRPr="00DF729E">
            <w:rPr>
              <w:rFonts w:asciiTheme="minorHAnsi" w:hAnsiTheme="minorHAnsi"/>
              <w:bCs/>
              <w:color w:val="365F91" w:themeColor="accent1" w:themeShade="BF"/>
              <w:sz w:val="24"/>
              <w:szCs w:val="24"/>
            </w:rPr>
            <w:fldChar w:fldCharType="end"/>
          </w:r>
        </w:p>
      </w:sdtContent>
    </w:sdt>
    <w:p w:rsidR="002E1A83" w:rsidRPr="006276F3" w:rsidRDefault="002E1A83" w:rsidP="006276F3">
      <w:pPr>
        <w:spacing w:before="120" w:after="120" w:line="240" w:lineRule="auto"/>
        <w:rPr>
          <w:rFonts w:ascii="Times New Roman" w:hAnsi="Times New Roman"/>
          <w:sz w:val="20"/>
          <w:szCs w:val="20"/>
        </w:rPr>
      </w:pPr>
      <w:r w:rsidRPr="006276F3">
        <w:rPr>
          <w:rFonts w:ascii="Times New Roman" w:hAnsi="Times New Roman"/>
          <w:sz w:val="20"/>
          <w:szCs w:val="20"/>
        </w:rPr>
        <w:br w:type="page"/>
      </w:r>
    </w:p>
    <w:p w:rsidR="00C44564" w:rsidRPr="00DF729E" w:rsidRDefault="00C44564" w:rsidP="00E735CE">
      <w:pPr>
        <w:pStyle w:val="Akapitzlist"/>
        <w:numPr>
          <w:ilvl w:val="0"/>
          <w:numId w:val="12"/>
        </w:numPr>
        <w:autoSpaceDE w:val="0"/>
        <w:autoSpaceDN w:val="0"/>
        <w:adjustRightInd w:val="0"/>
        <w:spacing w:after="120" w:line="276" w:lineRule="auto"/>
        <w:ind w:left="426" w:hanging="142"/>
        <w:contextualSpacing w:val="0"/>
        <w:jc w:val="both"/>
        <w:outlineLvl w:val="0"/>
        <w:rPr>
          <w:rFonts w:asciiTheme="minorHAnsi" w:hAnsiTheme="minorHAnsi"/>
          <w:sz w:val="24"/>
          <w:szCs w:val="24"/>
        </w:rPr>
      </w:pPr>
      <w:bookmarkStart w:id="3" w:name="_Toc404363904"/>
      <w:bookmarkStart w:id="4" w:name="_Toc404363905"/>
      <w:bookmarkStart w:id="5" w:name="_Toc404363906"/>
      <w:bookmarkStart w:id="6" w:name="_Toc404363907"/>
      <w:bookmarkStart w:id="7" w:name="_Toc404363908"/>
      <w:bookmarkStart w:id="8" w:name="_Toc404363909"/>
      <w:bookmarkStart w:id="9" w:name="_Toc404363910"/>
      <w:bookmarkStart w:id="10" w:name="_Toc404363911"/>
      <w:bookmarkStart w:id="11" w:name="_Toc404363913"/>
      <w:bookmarkStart w:id="12" w:name="_Toc404363914"/>
      <w:bookmarkStart w:id="13" w:name="_Toc404363915"/>
      <w:bookmarkStart w:id="14" w:name="_Toc404363916"/>
      <w:bookmarkStart w:id="15" w:name="_Toc404363917"/>
      <w:bookmarkStart w:id="16" w:name="_Toc404363918"/>
      <w:bookmarkStart w:id="17" w:name="_Toc404363919"/>
      <w:bookmarkStart w:id="18" w:name="_Toc404363920"/>
      <w:bookmarkStart w:id="19" w:name="_Toc404363921"/>
      <w:bookmarkStart w:id="20" w:name="_Toc404363922"/>
      <w:bookmarkStart w:id="21" w:name="_Toc404363923"/>
      <w:bookmarkStart w:id="22" w:name="_Toc404363924"/>
      <w:bookmarkStart w:id="23" w:name="_Toc404363925"/>
      <w:bookmarkStart w:id="24" w:name="_Toc404363926"/>
      <w:bookmarkStart w:id="25" w:name="_Toc404363927"/>
      <w:bookmarkStart w:id="26" w:name="_Toc404363928"/>
      <w:bookmarkStart w:id="27" w:name="_Toc404363929"/>
      <w:bookmarkStart w:id="28" w:name="_Toc454976070"/>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sidRPr="00DF729E">
        <w:rPr>
          <w:rFonts w:asciiTheme="minorHAnsi" w:hAnsiTheme="minorHAnsi"/>
          <w:b/>
          <w:smallCaps/>
          <w:color w:val="365F91" w:themeColor="accent1" w:themeShade="BF"/>
          <w:sz w:val="24"/>
          <w:szCs w:val="24"/>
        </w:rPr>
        <w:lastRenderedPageBreak/>
        <w:t>POWSTANIE.</w:t>
      </w:r>
      <w:bookmarkEnd w:id="28"/>
    </w:p>
    <w:p w:rsidR="00C44564" w:rsidRPr="008D312A" w:rsidRDefault="00C44564" w:rsidP="008A234B">
      <w:pPr>
        <w:pStyle w:val="Akapitzlist"/>
        <w:autoSpaceDE w:val="0"/>
        <w:autoSpaceDN w:val="0"/>
        <w:adjustRightInd w:val="0"/>
        <w:spacing w:after="120" w:line="276" w:lineRule="auto"/>
        <w:ind w:left="425"/>
        <w:contextualSpacing w:val="0"/>
        <w:jc w:val="both"/>
        <w:outlineLvl w:val="0"/>
        <w:rPr>
          <w:rFonts w:asciiTheme="minorHAnsi" w:hAnsiTheme="minorHAnsi"/>
        </w:rPr>
      </w:pPr>
    </w:p>
    <w:p w:rsidR="00C44564" w:rsidRDefault="00C44564" w:rsidP="008A234B">
      <w:pPr>
        <w:pStyle w:val="Akapitzlist"/>
        <w:spacing w:after="120" w:line="276" w:lineRule="auto"/>
        <w:ind w:left="425"/>
        <w:contextualSpacing w:val="0"/>
        <w:jc w:val="both"/>
      </w:pPr>
      <w:r w:rsidRPr="00970178">
        <w:t>1 lipca 2006 r. rozpoczęła funkcjonowa</w:t>
      </w:r>
      <w:r>
        <w:t>nie</w:t>
      </w:r>
      <w:r w:rsidRPr="00970178">
        <w:t xml:space="preserve"> w Polsce Krajowa Informacja Podatkowa</w:t>
      </w:r>
      <w:r w:rsidR="0062213C">
        <w:t xml:space="preserve"> (KIP)</w:t>
      </w:r>
      <w:r w:rsidRPr="00970178">
        <w:t>. Jej zręby stanowiły 4 biura w Bielsku-Białej, Lesznie</w:t>
      </w:r>
      <w:r>
        <w:t>,</w:t>
      </w:r>
      <w:r w:rsidRPr="00970178">
        <w:t xml:space="preserve"> Toruniu i Płocku </w:t>
      </w:r>
      <w:r w:rsidR="00057574">
        <w:t>−</w:t>
      </w:r>
      <w:r w:rsidRPr="00970178">
        <w:t xml:space="preserve"> działające jako wyodrębnione (z nazwy i rodzaju prowadzonych działań) piony Izb Skarbowych w Katowicach, Poznaniu, Bydgoszczy i Warszawie. Przedmiotowy zakres dz</w:t>
      </w:r>
      <w:r w:rsidR="00AE3B7B">
        <w:t xml:space="preserve">iałań biur oddzielony został od </w:t>
      </w:r>
      <w:r w:rsidRPr="00970178">
        <w:t>wykonywanej w izbach i urzędach skarb</w:t>
      </w:r>
      <w:r w:rsidR="00057574">
        <w:t xml:space="preserve">owych funkcji poboru podatków i </w:t>
      </w:r>
      <w:r w:rsidRPr="00970178">
        <w:t xml:space="preserve">stanowił udzielanie informacji telefonicznej w </w:t>
      </w:r>
      <w:r>
        <w:t xml:space="preserve">tematyce </w:t>
      </w:r>
      <w:r w:rsidRPr="00970178">
        <w:t>funkcjonowania przepisów prawa podatkowego obejmując</w:t>
      </w:r>
      <w:r>
        <w:t>ej</w:t>
      </w:r>
      <w:r w:rsidRPr="00970178">
        <w:t xml:space="preserve"> podatki: dochodowy od osób fizycznych,</w:t>
      </w:r>
      <w:r w:rsidR="0062213C">
        <w:t xml:space="preserve"> dochodowy od osób prawnych, </w:t>
      </w:r>
      <w:r w:rsidR="00AE3B7B">
        <w:br/>
      </w:r>
      <w:r w:rsidR="0062213C">
        <w:t>od</w:t>
      </w:r>
      <w:r w:rsidR="00AE3B7B">
        <w:t xml:space="preserve"> </w:t>
      </w:r>
      <w:r w:rsidRPr="00970178">
        <w:t xml:space="preserve">towarów i usług oraz podatki majątkowe (od czynności </w:t>
      </w:r>
      <w:r>
        <w:t>cywilnoprawnych</w:t>
      </w:r>
      <w:r w:rsidR="0062213C">
        <w:t xml:space="preserve"> i od spadków i </w:t>
      </w:r>
      <w:r w:rsidRPr="00970178">
        <w:t>darowizn). Nastąpiło zatem organizacyjne wyodrębnienie działań informacyjnych w zakresie podatków</w:t>
      </w:r>
      <w:r w:rsidR="00E01A29">
        <w:t xml:space="preserve"> </w:t>
      </w:r>
      <w:r w:rsidR="00057574">
        <w:t>−</w:t>
      </w:r>
      <w:r w:rsidRPr="00970178">
        <w:t xml:space="preserve"> prowadzonych masowo przez powołane do tego celu profesjonalne jednostki.</w:t>
      </w:r>
    </w:p>
    <w:p w:rsidR="00C44564" w:rsidRPr="00970178" w:rsidRDefault="00C44564" w:rsidP="008A234B">
      <w:pPr>
        <w:pStyle w:val="Akapitzlist"/>
        <w:spacing w:after="120" w:line="276" w:lineRule="auto"/>
        <w:ind w:left="425"/>
        <w:contextualSpacing w:val="0"/>
        <w:jc w:val="both"/>
      </w:pPr>
      <w:r w:rsidRPr="00970178">
        <w:t>Konieczność opisanych wyżej działań wymusiły trzy grupy przyczyn:</w:t>
      </w:r>
    </w:p>
    <w:p w:rsidR="00C44564" w:rsidRPr="00970178" w:rsidRDefault="00C44564" w:rsidP="00756C02">
      <w:pPr>
        <w:pStyle w:val="Akapitzlist"/>
        <w:numPr>
          <w:ilvl w:val="0"/>
          <w:numId w:val="25"/>
        </w:numPr>
        <w:spacing w:after="0" w:line="276" w:lineRule="auto"/>
        <w:ind w:left="1134" w:hanging="425"/>
        <w:contextualSpacing w:val="0"/>
        <w:jc w:val="both"/>
      </w:pPr>
      <w:r w:rsidRPr="00970178">
        <w:rPr>
          <w:b/>
        </w:rPr>
        <w:t>Społeczno-organizacyjne.</w:t>
      </w:r>
      <w:r w:rsidRPr="00AE3B7B">
        <w:t xml:space="preserve"> </w:t>
      </w:r>
      <w:r w:rsidRPr="00970178">
        <w:t>Po zmianach związanych z transformacją ustrojową znacząco zwiększyła się liczba podatników, obejmując zgodnie z zasadą powszechności opodatkowania – zarówno osoby prawne, jak i</w:t>
      </w:r>
      <w:r w:rsidR="00057574">
        <w:t xml:space="preserve"> </w:t>
      </w:r>
      <w:r w:rsidRPr="00970178">
        <w:t>f</w:t>
      </w:r>
      <w:r w:rsidR="00756C02">
        <w:t>izyczne. Podatnicy, działając w </w:t>
      </w:r>
      <w:r w:rsidRPr="00970178">
        <w:t>warunkach dynamicznego rynku potrzebowali informacji o prawie podatkowym obejmującej zarówno odpowiedzi na pytania indywidualne</w:t>
      </w:r>
      <w:r w:rsidR="00AE3B7B">
        <w:t>,</w:t>
      </w:r>
      <w:r w:rsidRPr="00970178">
        <w:t xml:space="preserve"> jak i szero</w:t>
      </w:r>
      <w:r w:rsidR="00AE3B7B">
        <w:t xml:space="preserve">ko pojętej masowej informacji o </w:t>
      </w:r>
      <w:r w:rsidRPr="00970178">
        <w:t xml:space="preserve">przepisach podatkowych, użytecznej zanim nastąpiło zdarzenie gospodarcze </w:t>
      </w:r>
      <w:r>
        <w:t xml:space="preserve">powodujące </w:t>
      </w:r>
      <w:r w:rsidRPr="00970178">
        <w:t>obowiązek podatkowy</w:t>
      </w:r>
      <w:r>
        <w:t>.</w:t>
      </w:r>
      <w:r w:rsidRPr="00970178">
        <w:t xml:space="preserve"> Potrzebowali informacji pomocnej przy pode</w:t>
      </w:r>
      <w:r w:rsidR="00AE3B7B">
        <w:t>jmowaniu decyzji ekonomicznych.</w:t>
      </w:r>
    </w:p>
    <w:p w:rsidR="00C44564" w:rsidRPr="00970178" w:rsidRDefault="00C44564" w:rsidP="00756C02">
      <w:pPr>
        <w:pStyle w:val="Akapitzlist"/>
        <w:numPr>
          <w:ilvl w:val="0"/>
          <w:numId w:val="25"/>
        </w:numPr>
        <w:spacing w:after="0" w:line="276" w:lineRule="auto"/>
        <w:ind w:left="1134" w:hanging="425"/>
        <w:jc w:val="both"/>
      </w:pPr>
      <w:r w:rsidRPr="00970178">
        <w:rPr>
          <w:b/>
        </w:rPr>
        <w:t>Prawne.</w:t>
      </w:r>
      <w:r w:rsidRPr="00970178">
        <w:t xml:space="preserve"> Obowiązek zapłaty podatków nakłada na obywateli Konstytucja </w:t>
      </w:r>
      <w:r w:rsidR="00057574">
        <w:t>−</w:t>
      </w:r>
      <w:r w:rsidRPr="00970178">
        <w:t xml:space="preserve"> w art. 84 stanowiąc: "Każdy jest zobowiązany do ponoszenia ciężarów i</w:t>
      </w:r>
      <w:r w:rsidR="00AE3B7B">
        <w:t xml:space="preserve"> </w:t>
      </w:r>
      <w:r w:rsidR="00504054">
        <w:t>świadczeń publicznych, w </w:t>
      </w:r>
      <w:r w:rsidRPr="00970178">
        <w:t xml:space="preserve">tym podatków, określonych w ustawie." Państwo </w:t>
      </w:r>
      <w:r w:rsidR="00057574">
        <w:t>−</w:t>
      </w:r>
      <w:r w:rsidRPr="00970178">
        <w:t xml:space="preserve"> nakładając obowiązek zapłaty podatku w określonej sytuacji gospodarczej miało więc (drugostronny) obowiązek poinformować podatnika, w j</w:t>
      </w:r>
      <w:r w:rsidR="00AE3B7B">
        <w:t>aki sposób wykonać go powinien.</w:t>
      </w:r>
    </w:p>
    <w:p w:rsidR="00C44564" w:rsidRPr="00970178" w:rsidRDefault="00C44564" w:rsidP="00756C02">
      <w:pPr>
        <w:pStyle w:val="Akapitzlist"/>
        <w:spacing w:after="0" w:line="276" w:lineRule="auto"/>
        <w:ind w:left="1134"/>
        <w:contextualSpacing w:val="0"/>
        <w:jc w:val="both"/>
      </w:pPr>
      <w:r w:rsidRPr="00970178">
        <w:t>Zgodnie z zasadą samoopodatkowania każdy zobow</w:t>
      </w:r>
      <w:r w:rsidR="00756C02">
        <w:t>iązany jest zapłacić podatek od </w:t>
      </w:r>
      <w:r w:rsidRPr="00970178">
        <w:t>uzyskanego dochodu. Istotą tej czynności być powinno w</w:t>
      </w:r>
      <w:r w:rsidR="00AE3B7B">
        <w:t xml:space="preserve"> </w:t>
      </w:r>
      <w:r w:rsidRPr="00970178">
        <w:t>pierwszym rzędzie zrozumieni</w:t>
      </w:r>
      <w:r w:rsidR="00176AED">
        <w:t xml:space="preserve">e przepisów prawa podatkowego, </w:t>
      </w:r>
      <w:r w:rsidRPr="00970178">
        <w:t xml:space="preserve">wypełnienie deklaracji podatkowej, potem zapłata należnego podatku. Gwarancją, że podatnik zrozumie prawo podatkowe i opłaci swoje zobowiązanie w prawidłowej wysokości było dostarczenie mu informacji w tym zakresie. Informacji prostej, przystępnej </w:t>
      </w:r>
      <w:r w:rsidR="00057574">
        <w:t>−</w:t>
      </w:r>
      <w:r w:rsidRPr="00970178">
        <w:t xml:space="preserve"> będącej przełożeniem języka przepisów podatkowych na język zrozumiały dla przeciętnego obywatela.</w:t>
      </w:r>
    </w:p>
    <w:p w:rsidR="00C44564" w:rsidRDefault="00C44564" w:rsidP="008A234B">
      <w:pPr>
        <w:pStyle w:val="Akapitzlist"/>
        <w:numPr>
          <w:ilvl w:val="0"/>
          <w:numId w:val="25"/>
        </w:numPr>
        <w:spacing w:after="120" w:line="276" w:lineRule="auto"/>
        <w:ind w:left="1134" w:hanging="425"/>
        <w:contextualSpacing w:val="0"/>
        <w:jc w:val="both"/>
      </w:pPr>
      <w:r w:rsidRPr="00970178">
        <w:t>Przeobrażenia gos</w:t>
      </w:r>
      <w:r>
        <w:t xml:space="preserve">podarcze wymusiły równocześnie </w:t>
      </w:r>
      <w:r w:rsidRPr="00970178">
        <w:t xml:space="preserve">zmianę kształtu funkcjonowania administracji podatkowej. Działania informacyjne kierowane w stronę klientów/podatników </w:t>
      </w:r>
      <w:r w:rsidR="00057574">
        <w:t>−</w:t>
      </w:r>
      <w:r w:rsidRPr="00970178">
        <w:t xml:space="preserve"> zaczęły być wykonywane oprócz tradycyjnych funkcji administracji podatkowej związanych z</w:t>
      </w:r>
      <w:r w:rsidR="00AE3B7B">
        <w:t xml:space="preserve"> </w:t>
      </w:r>
      <w:r w:rsidRPr="00970178">
        <w:t>wymiarem poda</w:t>
      </w:r>
      <w:r>
        <w:t xml:space="preserve">tku, poborem czy też kontrolą. </w:t>
      </w:r>
      <w:r w:rsidRPr="00970178">
        <w:t>Zaczęły one mieć charakter masowy i zachęcały do dobrowolnego wypełniania obowiązków podatkowych. Masowe działania informacyjne potrzebne były też urzędom skarbowym bo odciążały od pracy ich pracowników.</w:t>
      </w:r>
    </w:p>
    <w:p w:rsidR="00C44564" w:rsidRDefault="00C44564" w:rsidP="008A234B">
      <w:pPr>
        <w:pStyle w:val="Akapitzlist"/>
        <w:spacing w:after="120" w:line="276" w:lineRule="auto"/>
        <w:ind w:left="425"/>
        <w:contextualSpacing w:val="0"/>
        <w:jc w:val="both"/>
        <w:rPr>
          <w:b/>
        </w:rPr>
      </w:pPr>
      <w:r w:rsidRPr="00970178">
        <w:rPr>
          <w:b/>
        </w:rPr>
        <w:t>Świadczone przez biura Krajowej Informacji Podatkowej wyspecjalizowane działania informacyjne przyniosły korzyści, które rozpatrywać należ</w:t>
      </w:r>
      <w:r w:rsidR="00756C02">
        <w:rPr>
          <w:b/>
        </w:rPr>
        <w:t>y w</w:t>
      </w:r>
      <w:r w:rsidR="00AE3B7B">
        <w:rPr>
          <w:b/>
        </w:rPr>
        <w:t xml:space="preserve"> </w:t>
      </w:r>
      <w:r w:rsidR="00756C02">
        <w:rPr>
          <w:b/>
        </w:rPr>
        <w:t>odniesieniu do podatników w </w:t>
      </w:r>
      <w:r w:rsidRPr="00970178">
        <w:rPr>
          <w:b/>
        </w:rPr>
        <w:t>skali kraju, jak i do administracji podatkowej.</w:t>
      </w:r>
    </w:p>
    <w:p w:rsidR="00C44564" w:rsidRDefault="00C44564" w:rsidP="008A234B">
      <w:pPr>
        <w:pStyle w:val="Akapitzlist"/>
        <w:spacing w:after="120" w:line="276" w:lineRule="auto"/>
        <w:ind w:left="425"/>
        <w:contextualSpacing w:val="0"/>
        <w:jc w:val="both"/>
      </w:pPr>
      <w:r w:rsidRPr="00970178">
        <w:lastRenderedPageBreak/>
        <w:t>Informacja podatkowa skupiona została w wyspecjalizowanej sieci placówek podporządkowanych przedmiotowo Ministrowi Finansów. Spowodowało to, że na obs</w:t>
      </w:r>
      <w:r w:rsidR="00752398">
        <w:t>zarze kraju przekazywana była i</w:t>
      </w:r>
      <w:r w:rsidR="00F842A5">
        <w:t xml:space="preserve"> </w:t>
      </w:r>
      <w:r w:rsidRPr="00970178">
        <w:t>jest klientom biur informacja jednolita merytorycznie, co polepsza obsługę w skali całej administracji podatkowej i wpływ</w:t>
      </w:r>
      <w:r w:rsidR="00756C02">
        <w:t xml:space="preserve">a na poprawę </w:t>
      </w:r>
      <w:r w:rsidR="00E01A29">
        <w:t xml:space="preserve">jej </w:t>
      </w:r>
      <w:r w:rsidR="00057574">
        <w:t xml:space="preserve">wizerunku w </w:t>
      </w:r>
      <w:r w:rsidRPr="00970178">
        <w:t xml:space="preserve">oczach podatników. </w:t>
      </w:r>
      <w:r w:rsidR="00E01A29">
        <w:t>Udzielanie</w:t>
      </w:r>
      <w:r w:rsidRPr="00970178">
        <w:t xml:space="preserve"> informacji podatkowe</w:t>
      </w:r>
      <w:r w:rsidR="00756C02">
        <w:t xml:space="preserve">j </w:t>
      </w:r>
      <w:r w:rsidR="00057574">
        <w:t>− zarówno telefonicznej</w:t>
      </w:r>
      <w:r w:rsidR="00F842A5">
        <w:t>,</w:t>
      </w:r>
      <w:r w:rsidR="00057574">
        <w:t xml:space="preserve"> jak i</w:t>
      </w:r>
      <w:r w:rsidR="00E01A29">
        <w:t xml:space="preserve"> w formie </w:t>
      </w:r>
      <w:r w:rsidRPr="00970178">
        <w:t xml:space="preserve">interpretacji </w:t>
      </w:r>
      <w:r w:rsidR="00057574">
        <w:t>−</w:t>
      </w:r>
      <w:r w:rsidRPr="00970178">
        <w:t xml:space="preserve"> odbywa się przy uwzględnieniu ściśle określonych procedur i objęte jest ciągłym procesem monit</w:t>
      </w:r>
      <w:r w:rsidR="00F842A5">
        <w:t>oringu.</w:t>
      </w:r>
    </w:p>
    <w:p w:rsidR="00C44564" w:rsidRDefault="00C44564" w:rsidP="008A234B">
      <w:pPr>
        <w:pStyle w:val="Akapitzlist"/>
        <w:spacing w:after="120" w:line="276" w:lineRule="auto"/>
        <w:ind w:left="425"/>
        <w:contextualSpacing w:val="0"/>
        <w:jc w:val="both"/>
      </w:pPr>
      <w:r w:rsidRPr="00970178">
        <w:t>Wykorzystanie tejże informacji przez jej odbiorców/podatników pozwala na prawidłowe wykonanie obowiązku podatkowego już w momencie jego zaistnienia, co</w:t>
      </w:r>
      <w:r w:rsidR="00F842A5">
        <w:t xml:space="preserve"> </w:t>
      </w:r>
      <w:r w:rsidR="000E4A07">
        <w:t>skutkuje</w:t>
      </w:r>
      <w:r w:rsidRPr="00970178">
        <w:t xml:space="preserve"> minimaliz</w:t>
      </w:r>
      <w:r w:rsidR="00057574">
        <w:t>acją</w:t>
      </w:r>
      <w:r w:rsidR="000E4A07">
        <w:t xml:space="preserve"> kosztów</w:t>
      </w:r>
      <w:r w:rsidRPr="00970178">
        <w:t>, które mogłyby być poniesione w</w:t>
      </w:r>
      <w:r w:rsidR="00F842A5">
        <w:t xml:space="preserve"> </w:t>
      </w:r>
      <w:r w:rsidRPr="00970178">
        <w:t xml:space="preserve">przypadku naruszenia obowiązków </w:t>
      </w:r>
      <w:r w:rsidR="00F842A5">
        <w:t>podatkowych.</w:t>
      </w:r>
    </w:p>
    <w:p w:rsidR="00C44564" w:rsidRDefault="00C44564" w:rsidP="008A234B">
      <w:pPr>
        <w:pStyle w:val="Akapitzlist"/>
        <w:spacing w:after="120" w:line="276" w:lineRule="auto"/>
        <w:ind w:left="425"/>
        <w:contextualSpacing w:val="0"/>
        <w:jc w:val="both"/>
      </w:pPr>
      <w:r w:rsidRPr="00970178">
        <w:t xml:space="preserve">Informacja o przepisach prawa podatkowego dostępna </w:t>
      </w:r>
      <w:r w:rsidR="00756C02">
        <w:t>jest w wielu różnych formach, w </w:t>
      </w:r>
      <w:r w:rsidRPr="00970178">
        <w:t>szczególności poprzez infolinię telefoniczną, wydawane interpretac</w:t>
      </w:r>
      <w:r w:rsidR="000E4A07">
        <w:t xml:space="preserve">je przepisów prawa podatkowego </w:t>
      </w:r>
      <w:r w:rsidRPr="00970178">
        <w:t>czy też aplikacj</w:t>
      </w:r>
      <w:r>
        <w:t>ę</w:t>
      </w:r>
      <w:r w:rsidRPr="00970178">
        <w:t xml:space="preserve"> </w:t>
      </w:r>
      <w:proofErr w:type="spellStart"/>
      <w:r w:rsidRPr="00970178">
        <w:t>pytaniową</w:t>
      </w:r>
      <w:proofErr w:type="spellEnd"/>
      <w:r w:rsidRPr="00970178">
        <w:t xml:space="preserve"> (Szybki PIT) dostępną na stronach </w:t>
      </w:r>
      <w:r>
        <w:t xml:space="preserve">internetowych </w:t>
      </w:r>
      <w:r w:rsidRPr="00970178">
        <w:t>Ministerstwa Finansów. Poprzez wymienione wyżej rodzaje działań administracja podatkowa stała się administracj</w:t>
      </w:r>
      <w:r w:rsidR="00057574">
        <w:t xml:space="preserve">ą </w:t>
      </w:r>
      <w:r w:rsidRPr="00970178">
        <w:t>usługową o</w:t>
      </w:r>
      <w:r w:rsidR="00057574">
        <w:t xml:space="preserve"> </w:t>
      </w:r>
      <w:r w:rsidRPr="00970178">
        <w:t>wielu formach dostępu.</w:t>
      </w:r>
    </w:p>
    <w:p w:rsidR="00C44564" w:rsidRDefault="00C44564" w:rsidP="008A234B">
      <w:pPr>
        <w:pStyle w:val="Akapitzlist"/>
        <w:spacing w:after="240" w:line="276" w:lineRule="auto"/>
        <w:ind w:left="425"/>
        <w:contextualSpacing w:val="0"/>
        <w:jc w:val="both"/>
      </w:pPr>
      <w:r w:rsidRPr="00970178">
        <w:t xml:space="preserve">Powołanie 1 lipca 2006 r. Krajowej Informacji Podatkowej w postaci czterech </w:t>
      </w:r>
      <w:r w:rsidR="000E4A07">
        <w:t>b</w:t>
      </w:r>
      <w:r w:rsidR="00057574">
        <w:t>iur</w:t>
      </w:r>
      <w:r w:rsidR="000E4A07">
        <w:t xml:space="preserve"> </w:t>
      </w:r>
      <w:r w:rsidR="00057574">
        <w:t>−</w:t>
      </w:r>
      <w:r w:rsidR="000E4A07">
        <w:t xml:space="preserve"> </w:t>
      </w:r>
      <w:r w:rsidR="00057574">
        <w:t xml:space="preserve">odbyło się </w:t>
      </w:r>
      <w:r w:rsidRPr="00970178">
        <w:t xml:space="preserve">na bazie istniejących zasobów. Jej podwaliny stanowiły ośrodki zamiejscowe Izb Skarbowych: Katowickiej </w:t>
      </w:r>
      <w:r w:rsidR="00057574">
        <w:t>−</w:t>
      </w:r>
      <w:r w:rsidRPr="00970178">
        <w:t xml:space="preserve"> w</w:t>
      </w:r>
      <w:r w:rsidR="00756C02">
        <w:t xml:space="preserve"> Bielsku</w:t>
      </w:r>
      <w:r w:rsidR="00057574">
        <w:t>-</w:t>
      </w:r>
      <w:r w:rsidR="00756C02">
        <w:t>Białej, Bydgoskiej – w </w:t>
      </w:r>
      <w:r w:rsidRPr="00970178">
        <w:t xml:space="preserve">Toruniu oraz Warszawskiej </w:t>
      </w:r>
      <w:r w:rsidR="00057574">
        <w:t>−</w:t>
      </w:r>
      <w:r w:rsidRPr="00970178">
        <w:t xml:space="preserve"> w Płocku. Z ramienia </w:t>
      </w:r>
      <w:r>
        <w:t>p</w:t>
      </w:r>
      <w:r w:rsidRPr="00970178">
        <w:t xml:space="preserve">oznańskiej Izby Skarbowej do Krajowej Informacji Podatkowej włączone zostało Wielkopolskie </w:t>
      </w:r>
      <w:r w:rsidR="00057574">
        <w:t>Centrum Informacji Podatkowej</w:t>
      </w:r>
      <w:r w:rsidR="00F842A5">
        <w:t xml:space="preserve"> (WCIP)</w:t>
      </w:r>
      <w:r w:rsidR="00057574">
        <w:t xml:space="preserve"> w </w:t>
      </w:r>
      <w:r w:rsidRPr="00970178">
        <w:t xml:space="preserve">Lesznie pilotażowo </w:t>
      </w:r>
      <w:r w:rsidR="009B2D5E">
        <w:t>wykonujące działania związane z </w:t>
      </w:r>
      <w:r w:rsidRPr="00970178">
        <w:t>informowaniem i edukowaniem podatników</w:t>
      </w:r>
      <w:r w:rsidR="00057574">
        <w:t xml:space="preserve"> już od 3 stycznia 2000 r. </w:t>
      </w:r>
      <w:r w:rsidR="009B2D5E">
        <w:t>Należy podkreślić, że </w:t>
      </w:r>
      <w:r>
        <w:t>wprowadzanie działań informacyjn</w:t>
      </w:r>
      <w:r w:rsidR="00057574">
        <w:t xml:space="preserve">o-edukacyjnych WCIP bazowało na </w:t>
      </w:r>
      <w:r>
        <w:t>doświadczeniach administracji amerykańskiej i francuskiej.</w:t>
      </w:r>
    </w:p>
    <w:p w:rsidR="00C44564" w:rsidRDefault="00C44564" w:rsidP="003210E2">
      <w:pPr>
        <w:pStyle w:val="Akapitzlist"/>
        <w:spacing w:after="240"/>
        <w:ind w:left="567"/>
        <w:jc w:val="center"/>
      </w:pPr>
      <w:r w:rsidRPr="00B421EE">
        <w:rPr>
          <w:noProof/>
          <w:lang w:eastAsia="pl-PL"/>
        </w:rPr>
        <w:drawing>
          <wp:inline distT="0" distB="0" distL="0" distR="0">
            <wp:extent cx="4466480" cy="3157268"/>
            <wp:effectExtent l="19050" t="0" r="0" b="0"/>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66480" cy="3157268"/>
                    </a:xfrm>
                    <a:prstGeom prst="rect">
                      <a:avLst/>
                    </a:prstGeom>
                    <a:noFill/>
                    <a:ln>
                      <a:noFill/>
                    </a:ln>
                  </pic:spPr>
                </pic:pic>
              </a:graphicData>
            </a:graphic>
          </wp:inline>
        </w:drawing>
      </w:r>
    </w:p>
    <w:p w:rsidR="00C44564" w:rsidRDefault="00C44564" w:rsidP="00EE3956">
      <w:pPr>
        <w:pStyle w:val="Akapitzlist"/>
        <w:spacing w:after="120" w:line="276" w:lineRule="auto"/>
        <w:ind w:left="425"/>
        <w:contextualSpacing w:val="0"/>
        <w:jc w:val="both"/>
      </w:pPr>
      <w:r w:rsidRPr="00970178">
        <w:tab/>
      </w:r>
    </w:p>
    <w:p w:rsidR="00C44564" w:rsidRPr="00970178" w:rsidRDefault="00C44564" w:rsidP="00EE3956">
      <w:pPr>
        <w:pStyle w:val="Akapitzlist"/>
        <w:spacing w:after="240" w:line="276" w:lineRule="auto"/>
        <w:ind w:left="425"/>
        <w:contextualSpacing w:val="0"/>
        <w:jc w:val="both"/>
      </w:pPr>
      <w:r w:rsidRPr="00970178">
        <w:t>Naczelną zasadą działania, misją Wielkopolskiego Centrum Inf</w:t>
      </w:r>
      <w:r w:rsidR="0014719C">
        <w:t>ormacji Podatkowej była pomoc w </w:t>
      </w:r>
      <w:r w:rsidRPr="00970178">
        <w:t>kształtowaniu świadomości prawno-podatkowej sp</w:t>
      </w:r>
      <w:r w:rsidR="00504054">
        <w:t>ołeczeństwa. Wyrażała się ona w </w:t>
      </w:r>
      <w:r w:rsidRPr="00970178">
        <w:t>świadczeniu informacji o</w:t>
      </w:r>
      <w:r w:rsidR="00F842A5">
        <w:t xml:space="preserve"> prawach i </w:t>
      </w:r>
      <w:r w:rsidRPr="00970178">
        <w:t>obowiązka</w:t>
      </w:r>
      <w:r w:rsidR="00F842A5">
        <w:t xml:space="preserve">ch podatkowych obywateli oraz w </w:t>
      </w:r>
      <w:r w:rsidRPr="00970178">
        <w:t xml:space="preserve">prowadzeniu </w:t>
      </w:r>
      <w:r w:rsidRPr="00970178">
        <w:lastRenderedPageBreak/>
        <w:t>działań edukacyjnych. Celem tych poczyna</w:t>
      </w:r>
      <w:r w:rsidR="00F842A5">
        <w:t xml:space="preserve">ń było zachęcenie podatników do </w:t>
      </w:r>
      <w:r w:rsidRPr="00970178">
        <w:t xml:space="preserve">dobrowolnego przestrzegania przepisów podatkowych. Wielkopolskie Centrum </w:t>
      </w:r>
      <w:r w:rsidR="00F842A5">
        <w:t xml:space="preserve">Informacji Podatkowej </w:t>
      </w:r>
      <w:r w:rsidRPr="00970178">
        <w:t>oferowało społeczeństwu działania mające na cel</w:t>
      </w:r>
      <w:r w:rsidR="00F842A5">
        <w:t xml:space="preserve">u popularyzację i </w:t>
      </w:r>
      <w:r w:rsidRPr="00970178">
        <w:t>zrozumienie obowiązującego systemu podatkowego. Polegały one na</w:t>
      </w:r>
      <w:r w:rsidR="00057574">
        <w:t>:</w:t>
      </w:r>
    </w:p>
    <w:p w:rsidR="00C44564" w:rsidRPr="00970178" w:rsidRDefault="00C44564" w:rsidP="009F27D7">
      <w:pPr>
        <w:pStyle w:val="Akapitzlist"/>
        <w:numPr>
          <w:ilvl w:val="0"/>
          <w:numId w:val="26"/>
        </w:numPr>
        <w:spacing w:after="240" w:line="276" w:lineRule="auto"/>
        <w:ind w:left="1701" w:hanging="567"/>
        <w:contextualSpacing w:val="0"/>
        <w:jc w:val="both"/>
      </w:pPr>
      <w:r w:rsidRPr="00970178">
        <w:t>przygotowywaniu i udostępnianiu w urzędach skarbowych najpierw Wielkopolski</w:t>
      </w:r>
      <w:r w:rsidR="00F842A5">
        <w:t>,</w:t>
      </w:r>
      <w:r w:rsidRPr="00970178">
        <w:t xml:space="preserve"> a potem województw lubus</w:t>
      </w:r>
      <w:r w:rsidR="00504054">
        <w:t>kiego i łódzkiego publikacji na</w:t>
      </w:r>
      <w:r w:rsidR="00176AED">
        <w:t xml:space="preserve"> </w:t>
      </w:r>
      <w:r w:rsidRPr="00970178">
        <w:t>tematy podatkowe,</w:t>
      </w:r>
    </w:p>
    <w:p w:rsidR="00C44564" w:rsidRDefault="00E17009" w:rsidP="002004BE">
      <w:pPr>
        <w:spacing w:after="0" w:line="276" w:lineRule="auto"/>
        <w:ind w:left="1797"/>
        <w:jc w:val="both"/>
      </w:pPr>
      <w:r>
        <w:rPr>
          <w:noProof/>
          <w:lang w:eastAsia="pl-PL"/>
        </w:rPr>
        <w:drawing>
          <wp:anchor distT="0" distB="0" distL="114300" distR="114300" simplePos="0" relativeHeight="251663360" behindDoc="1" locked="0" layoutInCell="1" allowOverlap="1">
            <wp:simplePos x="0" y="0"/>
            <wp:positionH relativeFrom="margin">
              <wp:posOffset>1723390</wp:posOffset>
            </wp:positionH>
            <wp:positionV relativeFrom="paragraph">
              <wp:posOffset>21590</wp:posOffset>
            </wp:positionV>
            <wp:extent cx="2884805" cy="1798955"/>
            <wp:effectExtent l="19050" t="19050" r="10795" b="10795"/>
            <wp:wrapSquare wrapText="bothSides"/>
            <wp:docPr id="4" name="Obraz 4" descr="wachla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chlarz"/>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84805" cy="1798955"/>
                    </a:xfrm>
                    <a:prstGeom prst="rect">
                      <a:avLst/>
                    </a:prstGeom>
                    <a:blipFill>
                      <a:blip r:embed="rId14"/>
                      <a:tile tx="0" ty="0" sx="100000" sy="100000" flip="none" algn="tl"/>
                    </a:blipFill>
                    <a:ln w="12700" cmpd="dbl">
                      <a:solidFill>
                        <a:schemeClr val="accent1"/>
                      </a:solidFill>
                    </a:ln>
                  </pic:spPr>
                </pic:pic>
              </a:graphicData>
            </a:graphic>
          </wp:anchor>
        </w:drawing>
      </w:r>
    </w:p>
    <w:p w:rsidR="00C44564" w:rsidRDefault="00C44564" w:rsidP="002004BE">
      <w:pPr>
        <w:spacing w:after="0" w:line="276" w:lineRule="auto"/>
        <w:ind w:left="1797"/>
        <w:jc w:val="both"/>
      </w:pPr>
    </w:p>
    <w:p w:rsidR="00C44564" w:rsidRDefault="00C44564" w:rsidP="002004BE">
      <w:pPr>
        <w:spacing w:after="0" w:line="276" w:lineRule="auto"/>
        <w:ind w:left="1797"/>
        <w:jc w:val="both"/>
      </w:pPr>
    </w:p>
    <w:p w:rsidR="00C44564" w:rsidRDefault="00C44564" w:rsidP="002004BE">
      <w:pPr>
        <w:spacing w:after="0" w:line="276" w:lineRule="auto"/>
        <w:ind w:left="1797"/>
        <w:jc w:val="both"/>
      </w:pPr>
    </w:p>
    <w:p w:rsidR="00C44564" w:rsidRDefault="00C44564" w:rsidP="002004BE">
      <w:pPr>
        <w:spacing w:after="0" w:line="276" w:lineRule="auto"/>
        <w:ind w:left="1797"/>
        <w:jc w:val="both"/>
      </w:pPr>
    </w:p>
    <w:p w:rsidR="002004BE" w:rsidRDefault="002004BE" w:rsidP="002004BE">
      <w:pPr>
        <w:spacing w:after="0" w:line="276" w:lineRule="auto"/>
        <w:ind w:left="1797"/>
        <w:jc w:val="both"/>
      </w:pPr>
    </w:p>
    <w:p w:rsidR="002004BE" w:rsidRDefault="002004BE" w:rsidP="002004BE">
      <w:pPr>
        <w:spacing w:after="0" w:line="276" w:lineRule="auto"/>
        <w:ind w:left="1797"/>
        <w:jc w:val="both"/>
      </w:pPr>
    </w:p>
    <w:p w:rsidR="002004BE" w:rsidRDefault="002004BE" w:rsidP="002004BE">
      <w:pPr>
        <w:spacing w:after="0" w:line="276" w:lineRule="auto"/>
        <w:ind w:left="1797"/>
        <w:jc w:val="both"/>
      </w:pPr>
    </w:p>
    <w:p w:rsidR="002004BE" w:rsidRDefault="002004BE" w:rsidP="002004BE">
      <w:pPr>
        <w:spacing w:after="0" w:line="276" w:lineRule="auto"/>
        <w:ind w:left="1797"/>
        <w:jc w:val="both"/>
      </w:pPr>
    </w:p>
    <w:p w:rsidR="00504054" w:rsidRDefault="00504054" w:rsidP="009F27D7">
      <w:pPr>
        <w:spacing w:after="240" w:line="276" w:lineRule="auto"/>
        <w:ind w:left="425"/>
        <w:jc w:val="both"/>
      </w:pPr>
    </w:p>
    <w:p w:rsidR="00C44564" w:rsidRDefault="000E4A07" w:rsidP="009F27D7">
      <w:pPr>
        <w:pStyle w:val="Akapitzlist"/>
        <w:numPr>
          <w:ilvl w:val="0"/>
          <w:numId w:val="26"/>
        </w:numPr>
        <w:spacing w:after="120" w:line="276" w:lineRule="auto"/>
        <w:ind w:left="1701" w:hanging="567"/>
        <w:contextualSpacing w:val="0"/>
        <w:jc w:val="both"/>
      </w:pPr>
      <w:r>
        <w:t xml:space="preserve">udzielaniu </w:t>
      </w:r>
      <w:r w:rsidR="00C44564" w:rsidRPr="00970178">
        <w:t>telefonicznej informacji o przepisach podatkowych,</w:t>
      </w:r>
    </w:p>
    <w:p w:rsidR="00C44564" w:rsidRDefault="00C44564" w:rsidP="009F27D7">
      <w:pPr>
        <w:pStyle w:val="Akapitzlist"/>
        <w:numPr>
          <w:ilvl w:val="0"/>
          <w:numId w:val="26"/>
        </w:numPr>
        <w:spacing w:after="240" w:line="276" w:lineRule="auto"/>
        <w:ind w:left="1701" w:hanging="567"/>
        <w:contextualSpacing w:val="0"/>
        <w:jc w:val="both"/>
      </w:pPr>
      <w:r>
        <w:t xml:space="preserve">przygotowywaniu i </w:t>
      </w:r>
      <w:r w:rsidRPr="00970178">
        <w:t>przeprowadzaniu szkoleń na tematy podatkowe,</w:t>
      </w:r>
    </w:p>
    <w:p w:rsidR="00C44564" w:rsidRDefault="00C44564" w:rsidP="009F27D7">
      <w:pPr>
        <w:pStyle w:val="Akapitzlist"/>
        <w:spacing w:after="240" w:line="276" w:lineRule="auto"/>
        <w:ind w:left="1418"/>
        <w:contextualSpacing w:val="0"/>
        <w:jc w:val="center"/>
      </w:pPr>
      <w:r>
        <w:rPr>
          <w:noProof/>
          <w:lang w:eastAsia="pl-PL"/>
        </w:rPr>
        <w:drawing>
          <wp:inline distT="0" distB="0" distL="0" distR="0">
            <wp:extent cx="1937780" cy="2134794"/>
            <wp:effectExtent l="19050" t="19050" r="24765" b="18415"/>
            <wp:docPr id="9"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947905" cy="2145949"/>
                    </a:xfrm>
                    <a:prstGeom prst="rect">
                      <a:avLst/>
                    </a:prstGeom>
                    <a:ln w="15875" cmpd="thickThin">
                      <a:solidFill>
                        <a:schemeClr val="accent1"/>
                      </a:solidFill>
                    </a:ln>
                  </pic:spPr>
                </pic:pic>
              </a:graphicData>
            </a:graphic>
          </wp:inline>
        </w:drawing>
      </w:r>
    </w:p>
    <w:p w:rsidR="00C44564" w:rsidRDefault="000E4A07" w:rsidP="009F27D7">
      <w:pPr>
        <w:pStyle w:val="Akapitzlist"/>
        <w:numPr>
          <w:ilvl w:val="0"/>
          <w:numId w:val="26"/>
        </w:numPr>
        <w:spacing w:after="240" w:line="276" w:lineRule="auto"/>
        <w:ind w:left="1701" w:hanging="567"/>
        <w:contextualSpacing w:val="0"/>
      </w:pPr>
      <w:r>
        <w:t xml:space="preserve">udostępnianiu </w:t>
      </w:r>
      <w:r w:rsidR="00C44564" w:rsidRPr="00970178">
        <w:t>informacji w Internecie.</w:t>
      </w:r>
    </w:p>
    <w:p w:rsidR="00100C64" w:rsidRDefault="00100C64" w:rsidP="00100C64">
      <w:pPr>
        <w:spacing w:after="0" w:line="276" w:lineRule="auto"/>
        <w:ind w:left="425"/>
      </w:pPr>
    </w:p>
    <w:p w:rsidR="00C44564" w:rsidRPr="00970178" w:rsidRDefault="00C44564" w:rsidP="008A234B">
      <w:pPr>
        <w:pStyle w:val="Akapitzlist"/>
        <w:spacing w:after="120" w:line="276" w:lineRule="auto"/>
        <w:ind w:left="425"/>
        <w:contextualSpacing w:val="0"/>
        <w:jc w:val="both"/>
      </w:pPr>
      <w:r w:rsidRPr="00970178">
        <w:t xml:space="preserve">Z roku na rok </w:t>
      </w:r>
      <w:r w:rsidR="00F640CD">
        <w:t>W</w:t>
      </w:r>
      <w:r w:rsidRPr="00970178">
        <w:t>ielkopolskie Centrum Informacji Podatkowej stawało się coraz bardziej trwałym ogniwem struktury organizacy</w:t>
      </w:r>
      <w:r>
        <w:t>jnej skarbowości Wielkopolski z</w:t>
      </w:r>
      <w:r w:rsidR="00F842A5">
        <w:t xml:space="preserve"> </w:t>
      </w:r>
      <w:r w:rsidRPr="00970178">
        <w:t xml:space="preserve">wyraziście rysującymi się zadaniami w sposób zasadniczy różniącymi się od zadań wykonywanych w urzędach skarbowych. Praktyka wykazała, że w okresie świadczenia swoich działań przez WCIP </w:t>
      </w:r>
      <w:r w:rsidR="00057574">
        <w:t>−</w:t>
      </w:r>
      <w:r w:rsidRPr="00970178">
        <w:t xml:space="preserve"> od 3 stycznia 2000 r. do 30 czerwca 2006 r. </w:t>
      </w:r>
      <w:r w:rsidR="00057574">
        <w:t>−</w:t>
      </w:r>
      <w:r w:rsidRPr="00970178">
        <w:t xml:space="preserve"> zapotrzebowanie podatników na proponowane im przez wielkopolską administrację podatkową formy działań informacyjnych systematycznie wzrastało.</w:t>
      </w:r>
    </w:p>
    <w:p w:rsidR="00C44564" w:rsidRDefault="00C44564" w:rsidP="009F27D7">
      <w:pPr>
        <w:spacing w:after="360" w:line="276" w:lineRule="auto"/>
        <w:ind w:left="425"/>
        <w:jc w:val="both"/>
      </w:pPr>
      <w:r w:rsidRPr="00970178">
        <w:t>Powodzenie działań Wielkopolskiego Centrum Informacji Podatkowej dało asumpt d</w:t>
      </w:r>
      <w:r w:rsidR="00F842A5">
        <w:t xml:space="preserve">o </w:t>
      </w:r>
      <w:r w:rsidRPr="00970178">
        <w:t xml:space="preserve">poszerzenia </w:t>
      </w:r>
      <w:r>
        <w:t xml:space="preserve">niektórych </w:t>
      </w:r>
      <w:r w:rsidRPr="00970178">
        <w:t xml:space="preserve">ich </w:t>
      </w:r>
      <w:r>
        <w:t xml:space="preserve">rodzajów – jak np. infolinia podatkowa </w:t>
      </w:r>
      <w:r w:rsidR="00057574">
        <w:t>−</w:t>
      </w:r>
      <w:r w:rsidRPr="00970178">
        <w:t xml:space="preserve"> na obszar całego kraju.</w:t>
      </w:r>
    </w:p>
    <w:p w:rsidR="00C44564" w:rsidRPr="00DF729E" w:rsidRDefault="000E4A07" w:rsidP="008D312A">
      <w:pPr>
        <w:pStyle w:val="Akapitzlist"/>
        <w:numPr>
          <w:ilvl w:val="0"/>
          <w:numId w:val="12"/>
        </w:numPr>
        <w:autoSpaceDE w:val="0"/>
        <w:autoSpaceDN w:val="0"/>
        <w:adjustRightInd w:val="0"/>
        <w:spacing w:after="120" w:line="240" w:lineRule="auto"/>
        <w:ind w:left="426" w:hanging="142"/>
        <w:contextualSpacing w:val="0"/>
        <w:jc w:val="both"/>
        <w:outlineLvl w:val="0"/>
        <w:rPr>
          <w:rFonts w:asciiTheme="minorHAnsi" w:hAnsiTheme="minorHAnsi"/>
          <w:sz w:val="24"/>
          <w:szCs w:val="24"/>
        </w:rPr>
      </w:pPr>
      <w:bookmarkStart w:id="29" w:name="_Toc454976071"/>
      <w:r w:rsidRPr="00DF729E">
        <w:rPr>
          <w:rFonts w:asciiTheme="minorHAnsi" w:hAnsiTheme="minorHAnsi"/>
          <w:b/>
          <w:smallCaps/>
          <w:color w:val="365F91" w:themeColor="accent1" w:themeShade="BF"/>
          <w:sz w:val="24"/>
          <w:szCs w:val="24"/>
        </w:rPr>
        <w:lastRenderedPageBreak/>
        <w:t>EWOL</w:t>
      </w:r>
      <w:r w:rsidR="00C44564" w:rsidRPr="00DF729E">
        <w:rPr>
          <w:rFonts w:asciiTheme="minorHAnsi" w:hAnsiTheme="minorHAnsi"/>
          <w:b/>
          <w:smallCaps/>
          <w:color w:val="365F91" w:themeColor="accent1" w:themeShade="BF"/>
          <w:sz w:val="24"/>
          <w:szCs w:val="24"/>
        </w:rPr>
        <w:t>UCJA DZIAŁAŃ KRAJOWEJ INFORMACJI PODATKOWEJ</w:t>
      </w:r>
      <w:bookmarkEnd w:id="29"/>
    </w:p>
    <w:p w:rsidR="000E4A07" w:rsidRPr="00296633" w:rsidRDefault="000E4A07" w:rsidP="0036761F">
      <w:pPr>
        <w:autoSpaceDE w:val="0"/>
        <w:autoSpaceDN w:val="0"/>
        <w:adjustRightInd w:val="0"/>
        <w:spacing w:after="120"/>
        <w:ind w:left="425"/>
        <w:jc w:val="both"/>
        <w:outlineLvl w:val="0"/>
        <w:rPr>
          <w:rFonts w:asciiTheme="minorHAnsi" w:hAnsiTheme="minorHAnsi"/>
          <w:sz w:val="20"/>
          <w:szCs w:val="20"/>
        </w:rPr>
      </w:pPr>
    </w:p>
    <w:p w:rsidR="00C44564" w:rsidRPr="00A95AD5" w:rsidRDefault="00C44564" w:rsidP="0036761F">
      <w:pPr>
        <w:pStyle w:val="Akapitzlist"/>
        <w:numPr>
          <w:ilvl w:val="6"/>
          <w:numId w:val="12"/>
        </w:numPr>
        <w:autoSpaceDE w:val="0"/>
        <w:autoSpaceDN w:val="0"/>
        <w:adjustRightInd w:val="0"/>
        <w:spacing w:after="120"/>
        <w:ind w:hanging="284"/>
        <w:contextualSpacing w:val="0"/>
        <w:jc w:val="both"/>
        <w:outlineLvl w:val="0"/>
        <w:rPr>
          <w:rFonts w:asciiTheme="minorHAnsi" w:hAnsiTheme="minorHAnsi"/>
        </w:rPr>
      </w:pPr>
      <w:bookmarkStart w:id="30" w:name="_Toc454976072"/>
      <w:r w:rsidRPr="00A95AD5">
        <w:rPr>
          <w:rFonts w:asciiTheme="minorHAnsi" w:hAnsiTheme="minorHAnsi"/>
          <w:b/>
          <w:smallCaps/>
          <w:color w:val="365F91" w:themeColor="accent1" w:themeShade="BF"/>
        </w:rPr>
        <w:t>INFOLINIA.</w:t>
      </w:r>
      <w:bookmarkEnd w:id="30"/>
    </w:p>
    <w:p w:rsidR="00C44564" w:rsidRPr="00296633" w:rsidRDefault="00C44564" w:rsidP="0036761F">
      <w:pPr>
        <w:spacing w:after="120"/>
        <w:ind w:left="425"/>
        <w:jc w:val="both"/>
        <w:rPr>
          <w:sz w:val="20"/>
          <w:szCs w:val="20"/>
        </w:rPr>
      </w:pPr>
    </w:p>
    <w:p w:rsidR="00C44564" w:rsidRDefault="00545FC9" w:rsidP="00832737">
      <w:pPr>
        <w:pStyle w:val="Akapitzlist"/>
        <w:tabs>
          <w:tab w:val="left" w:pos="1134"/>
        </w:tabs>
        <w:spacing w:after="120"/>
        <w:ind w:left="425"/>
        <w:contextualSpacing w:val="0"/>
        <w:jc w:val="both"/>
      </w:pPr>
      <w:r>
        <w:t>1</w:t>
      </w:r>
      <w:r w:rsidR="00C44564">
        <w:t xml:space="preserve"> lipca 2006 r. </w:t>
      </w:r>
      <w:r w:rsidR="00E17009">
        <w:t xml:space="preserve">pod numerem </w:t>
      </w:r>
      <w:r w:rsidR="00E17009" w:rsidRPr="00E17009">
        <w:rPr>
          <w:b/>
        </w:rPr>
        <w:t>0 801 055 055</w:t>
      </w:r>
      <w:r w:rsidR="00E17009">
        <w:t xml:space="preserve"> (dla zagranicy i telefonów komórkowych pod numerem </w:t>
      </w:r>
      <w:r w:rsidR="00E17009" w:rsidRPr="00E17009">
        <w:rPr>
          <w:b/>
        </w:rPr>
        <w:t>022 330 0330</w:t>
      </w:r>
      <w:r w:rsidR="00E17009">
        <w:t>) r</w:t>
      </w:r>
      <w:r w:rsidR="00C44564">
        <w:t xml:space="preserve">ozpoczęła działalność infolinia Krajowej Informacji Podatkowej. </w:t>
      </w:r>
      <w:r w:rsidR="00057574">
        <w:t xml:space="preserve">Jej </w:t>
      </w:r>
      <w:r w:rsidR="00E17009">
        <w:t>s</w:t>
      </w:r>
      <w:r w:rsidR="00057574">
        <w:t>kład</w:t>
      </w:r>
      <w:r w:rsidR="00F75C38">
        <w:t xml:space="preserve"> stanowili pracownicy </w:t>
      </w:r>
      <w:r w:rsidR="00C44564">
        <w:t>Wydziałów Konsultantów</w:t>
      </w:r>
      <w:r w:rsidR="00F75C38">
        <w:t xml:space="preserve"> </w:t>
      </w:r>
      <w:r w:rsidR="00057574">
        <w:t xml:space="preserve">, które znajdowały się w </w:t>
      </w:r>
      <w:r w:rsidR="00F75C38">
        <w:t>4 biurach.</w:t>
      </w:r>
    </w:p>
    <w:p w:rsidR="00C44564" w:rsidRPr="00F11982" w:rsidRDefault="00C44564" w:rsidP="00832737">
      <w:pPr>
        <w:pStyle w:val="Akapitzlist"/>
        <w:spacing w:after="120"/>
        <w:ind w:left="425"/>
        <w:contextualSpacing w:val="0"/>
        <w:jc w:val="both"/>
      </w:pPr>
      <w:r w:rsidRPr="00F11982">
        <w:t>Podstawowym zadaniem realizowanym przez pracowników biur KIP było udzielanie informacji na zapytania telefoniczne podatników. Wśród osób pra</w:t>
      </w:r>
      <w:r>
        <w:t>cujących na infolinii wyodrębniono</w:t>
      </w:r>
      <w:r w:rsidRPr="00F11982">
        <w:t xml:space="preserve"> specjalistów – osoby udzielające odpowiedzi na zapytania telefoniczne podatników oraz</w:t>
      </w:r>
      <w:r w:rsidR="00E17009">
        <w:t xml:space="preserve"> starszych specjalistów – osoby wspierające </w:t>
      </w:r>
      <w:r w:rsidRPr="00F11982">
        <w:t>merytorycznie specjalistów podczas udzielania inform</w:t>
      </w:r>
      <w:r w:rsidR="00E17009">
        <w:t>acji podatnikom</w:t>
      </w:r>
      <w:r w:rsidRPr="00F11982">
        <w:t>. Nad całością realizowania zadań czuwał naczelnik wydziału. Infol</w:t>
      </w:r>
      <w:r w:rsidR="00176AED">
        <w:t xml:space="preserve">inia KIP udzielała informacji w </w:t>
      </w:r>
      <w:r w:rsidRPr="00F11982">
        <w:t>zakresie:</w:t>
      </w:r>
    </w:p>
    <w:p w:rsidR="00C44564" w:rsidRPr="00F11982" w:rsidRDefault="00C44564" w:rsidP="009F27D7">
      <w:pPr>
        <w:pStyle w:val="Akapitzlist"/>
        <w:numPr>
          <w:ilvl w:val="0"/>
          <w:numId w:val="34"/>
        </w:numPr>
        <w:spacing w:after="120"/>
        <w:ind w:left="1701" w:hanging="567"/>
        <w:jc w:val="both"/>
      </w:pPr>
      <w:r w:rsidRPr="00F11982">
        <w:t xml:space="preserve">podatku </w:t>
      </w:r>
      <w:r w:rsidR="00057574">
        <w:t>dochodowego od osób fizycznych,</w:t>
      </w:r>
    </w:p>
    <w:p w:rsidR="00C44564" w:rsidRPr="00F11982" w:rsidRDefault="00C44564" w:rsidP="009F27D7">
      <w:pPr>
        <w:pStyle w:val="Akapitzlist"/>
        <w:numPr>
          <w:ilvl w:val="0"/>
          <w:numId w:val="34"/>
        </w:numPr>
        <w:spacing w:after="120"/>
        <w:ind w:left="1701" w:hanging="567"/>
        <w:jc w:val="both"/>
      </w:pPr>
      <w:r w:rsidRPr="00F11982">
        <w:t>podatku od towarów i usług,</w:t>
      </w:r>
    </w:p>
    <w:p w:rsidR="00C44564" w:rsidRPr="00F11982" w:rsidRDefault="00C44564" w:rsidP="009F27D7">
      <w:pPr>
        <w:pStyle w:val="Akapitzlist"/>
        <w:numPr>
          <w:ilvl w:val="0"/>
          <w:numId w:val="34"/>
        </w:numPr>
        <w:spacing w:after="120"/>
        <w:ind w:left="1701" w:hanging="567"/>
        <w:jc w:val="both"/>
      </w:pPr>
      <w:r w:rsidRPr="00F11982">
        <w:t>podatk</w:t>
      </w:r>
      <w:r w:rsidR="00057574">
        <w:t>u dochodowego od osób prawnych,</w:t>
      </w:r>
    </w:p>
    <w:p w:rsidR="00C44564" w:rsidRPr="00F11982" w:rsidRDefault="00C44564" w:rsidP="009F27D7">
      <w:pPr>
        <w:pStyle w:val="Akapitzlist"/>
        <w:numPr>
          <w:ilvl w:val="0"/>
          <w:numId w:val="34"/>
        </w:numPr>
        <w:spacing w:after="120"/>
        <w:ind w:left="1701" w:hanging="567"/>
        <w:jc w:val="both"/>
      </w:pPr>
      <w:r w:rsidRPr="00F11982">
        <w:t>podatku od czynności cywilnoprawnych,</w:t>
      </w:r>
    </w:p>
    <w:p w:rsidR="00C44564" w:rsidRPr="00F11982" w:rsidRDefault="00F75C38" w:rsidP="009F27D7">
      <w:pPr>
        <w:pStyle w:val="Akapitzlist"/>
        <w:numPr>
          <w:ilvl w:val="0"/>
          <w:numId w:val="34"/>
        </w:numPr>
        <w:spacing w:after="240"/>
        <w:ind w:left="1701" w:hanging="567"/>
        <w:contextualSpacing w:val="0"/>
        <w:jc w:val="both"/>
      </w:pPr>
      <w:r>
        <w:t>podatku od spadków i darowizn.</w:t>
      </w:r>
    </w:p>
    <w:p w:rsidR="00C44564" w:rsidRPr="00F11982" w:rsidRDefault="00C44564" w:rsidP="00832737">
      <w:pPr>
        <w:spacing w:after="120"/>
        <w:ind w:left="425"/>
        <w:jc w:val="both"/>
      </w:pPr>
      <w:r>
        <w:rPr>
          <w:rFonts w:cs="Tahoma"/>
        </w:rPr>
        <w:t>W kolejnych latach z</w:t>
      </w:r>
      <w:r w:rsidRPr="00F11982">
        <w:rPr>
          <w:rFonts w:cs="Tahoma"/>
        </w:rPr>
        <w:t>akres udziel</w:t>
      </w:r>
      <w:r>
        <w:rPr>
          <w:rFonts w:cs="Tahoma"/>
        </w:rPr>
        <w:t>a</w:t>
      </w:r>
      <w:r w:rsidRPr="00F11982">
        <w:rPr>
          <w:rFonts w:cs="Tahoma"/>
        </w:rPr>
        <w:t>nych informacji w ramach in</w:t>
      </w:r>
      <w:r w:rsidR="001C374C">
        <w:rPr>
          <w:rFonts w:cs="Tahoma"/>
        </w:rPr>
        <w:t>folinii KIP został poszerzony o </w:t>
      </w:r>
      <w:r w:rsidRPr="00F11982">
        <w:rPr>
          <w:rFonts w:cs="Tahoma"/>
        </w:rPr>
        <w:t>podatek akcyzowy, procedury w zakresie elektronicznego wypełniania zeznań i deklaracji oraz pomoc techniczną dla projektu e-deklaracje.</w:t>
      </w:r>
      <w:r>
        <w:rPr>
          <w:rFonts w:cs="Tahoma"/>
        </w:rPr>
        <w:t xml:space="preserve"> A od</w:t>
      </w:r>
      <w:r w:rsidR="00057574">
        <w:rPr>
          <w:rFonts w:cs="Tahoma"/>
        </w:rPr>
        <w:t xml:space="preserve"> czerwca </w:t>
      </w:r>
      <w:r w:rsidRPr="00911E21">
        <w:rPr>
          <w:rFonts w:cs="Tahoma"/>
        </w:rPr>
        <w:t>2012 r. na infolinii Krajowej Informacji Podatkowej można było także uzyska</w:t>
      </w:r>
      <w:r w:rsidR="00057574">
        <w:rPr>
          <w:rFonts w:cs="Tahoma"/>
        </w:rPr>
        <w:t xml:space="preserve">ć informacje </w:t>
      </w:r>
      <w:r w:rsidRPr="00911E21">
        <w:rPr>
          <w:rFonts w:cs="Tahoma"/>
        </w:rPr>
        <w:t>związane z</w:t>
      </w:r>
      <w:r w:rsidR="00176AED">
        <w:rPr>
          <w:rFonts w:cs="Tahoma"/>
        </w:rPr>
        <w:t xml:space="preserve"> </w:t>
      </w:r>
      <w:r w:rsidRPr="00911E21">
        <w:rPr>
          <w:rFonts w:cs="Tahoma"/>
        </w:rPr>
        <w:t xml:space="preserve">potwierdzaniem </w:t>
      </w:r>
      <w:r w:rsidRPr="00911E21">
        <w:t xml:space="preserve">numerów VAT kontrahentów z Unii Europejskiej przez </w:t>
      </w:r>
      <w:r w:rsidRPr="00911E21">
        <w:rPr>
          <w:rFonts w:cs="Tahoma"/>
        </w:rPr>
        <w:t>Biuro Wymiany Informacji Podatkowych w Koninie.</w:t>
      </w:r>
    </w:p>
    <w:p w:rsidR="00C44564" w:rsidRPr="00F11982" w:rsidRDefault="00C44564" w:rsidP="00832737">
      <w:pPr>
        <w:spacing w:after="120"/>
        <w:ind w:left="425"/>
        <w:jc w:val="both"/>
      </w:pPr>
      <w:r>
        <w:t xml:space="preserve">Autorskim narzędziem, dedykowanym infolinii KIP </w:t>
      </w:r>
      <w:r w:rsidR="00176AED">
        <w:t xml:space="preserve">jest aplikacja Poradnik Pytań i </w:t>
      </w:r>
      <w:r>
        <w:t>Odpowiedzi, zawierająca materiały (karty) wspierające konsultantów podczas udzielania informacji telefonicznych. Na podkreślenie zasługuj</w:t>
      </w:r>
      <w:r w:rsidR="00176AED">
        <w:t>e fakt, że</w:t>
      </w:r>
      <w:r w:rsidR="00057574">
        <w:t xml:space="preserve"> treść merytoryczna </w:t>
      </w:r>
      <w:proofErr w:type="spellStart"/>
      <w:r w:rsidR="00057574">
        <w:t>PPiO</w:t>
      </w:r>
      <w:proofErr w:type="spellEnd"/>
      <w:r w:rsidR="00057574">
        <w:t xml:space="preserve"> </w:t>
      </w:r>
      <w:r>
        <w:t>jest efekt</w:t>
      </w:r>
      <w:r w:rsidR="00057574">
        <w:t>em pracy</w:t>
      </w:r>
      <w:r w:rsidR="0031575A">
        <w:t xml:space="preserve"> pracowników </w:t>
      </w:r>
      <w:r w:rsidR="00F75C38">
        <w:t>biur KIP</w:t>
      </w:r>
      <w:r>
        <w:t>, którzy zajmują się w sposób ciągły również jego ro</w:t>
      </w:r>
      <w:r w:rsidR="00176AED">
        <w:t xml:space="preserve">zbudową i </w:t>
      </w:r>
      <w:r w:rsidR="00057574">
        <w:t>aktualizacją.</w:t>
      </w:r>
      <w:r>
        <w:t xml:space="preserve"> Poradnik Pyt</w:t>
      </w:r>
      <w:r w:rsidR="00176AED">
        <w:t xml:space="preserve">ań i Odpowiedzi zapewnia </w:t>
      </w:r>
      <w:r w:rsidR="0031575A">
        <w:t>jednolite udzielenie informacji</w:t>
      </w:r>
      <w:r>
        <w:t xml:space="preserve"> </w:t>
      </w:r>
      <w:r w:rsidR="0031575A">
        <w:t>wszystkim dzwoniącym podatnikom.</w:t>
      </w:r>
    </w:p>
    <w:p w:rsidR="00C44564" w:rsidRDefault="00C44564" w:rsidP="00832737">
      <w:pPr>
        <w:spacing w:after="120"/>
        <w:ind w:left="425"/>
        <w:jc w:val="both"/>
        <w:rPr>
          <w:rFonts w:cs="Tahoma"/>
        </w:rPr>
      </w:pPr>
      <w:r w:rsidRPr="00F11982">
        <w:t>W 2010 r</w:t>
      </w:r>
      <w:r w:rsidR="007E6C70">
        <w:t>.</w:t>
      </w:r>
      <w:r w:rsidRPr="00F11982">
        <w:t xml:space="preserve"> z uwagi na rosnące zainteresowanie usługami infolinii KIP rozpoczęto prace </w:t>
      </w:r>
      <w:r w:rsidR="0031575A">
        <w:t xml:space="preserve">związane </w:t>
      </w:r>
      <w:r w:rsidR="007E6C70">
        <w:br/>
      </w:r>
      <w:r w:rsidR="0031575A">
        <w:t>z modernizacją systemu udzielania informacji telefonicznej (SIT). Przyjęto założenia</w:t>
      </w:r>
      <w:r w:rsidR="007E6C70">
        <w:t>,</w:t>
      </w:r>
      <w:r w:rsidR="0031575A">
        <w:t xml:space="preserve"> aby zapewnić </w:t>
      </w:r>
      <w:r w:rsidR="00176AED">
        <w:rPr>
          <w:rFonts w:cs="Tahoma"/>
        </w:rPr>
        <w:t xml:space="preserve">elastyczny i </w:t>
      </w:r>
      <w:r w:rsidRPr="00F11982">
        <w:rPr>
          <w:rFonts w:cs="Tahoma"/>
        </w:rPr>
        <w:t xml:space="preserve">równomierny rozdział połączeń telefonicznych </w:t>
      </w:r>
      <w:r w:rsidR="0031575A">
        <w:rPr>
          <w:rFonts w:cs="Tahoma"/>
        </w:rPr>
        <w:t xml:space="preserve">przy uwzględnieniu różnych zmiennych, np. ilości </w:t>
      </w:r>
      <w:r w:rsidRPr="00F11982">
        <w:rPr>
          <w:rFonts w:cs="Tahoma"/>
        </w:rPr>
        <w:t>dostępnych konsultantów w danym Biurze ogółem</w:t>
      </w:r>
      <w:r>
        <w:rPr>
          <w:rFonts w:cs="Tahoma"/>
        </w:rPr>
        <w:t>,</w:t>
      </w:r>
      <w:r w:rsidR="00176AED">
        <w:rPr>
          <w:rFonts w:cs="Tahoma"/>
        </w:rPr>
        <w:t xml:space="preserve"> w podziale na </w:t>
      </w:r>
      <w:r w:rsidRPr="00F11982">
        <w:rPr>
          <w:rFonts w:cs="Tahoma"/>
        </w:rPr>
        <w:t xml:space="preserve">poszczególne tytuły podatkowe. </w:t>
      </w:r>
      <w:r w:rsidR="0031575A">
        <w:rPr>
          <w:rFonts w:cs="Tahoma"/>
        </w:rPr>
        <w:t xml:space="preserve">Zgodnie z wprowadzonym modelem </w:t>
      </w:r>
      <w:r w:rsidR="00057574">
        <w:rPr>
          <w:rFonts w:cs="Tahoma"/>
        </w:rPr>
        <w:t>−</w:t>
      </w:r>
      <w:r w:rsidR="0031575A">
        <w:rPr>
          <w:rFonts w:cs="Tahoma"/>
        </w:rPr>
        <w:t xml:space="preserve"> r</w:t>
      </w:r>
      <w:r w:rsidRPr="00F11982">
        <w:rPr>
          <w:rFonts w:cs="Tahoma"/>
        </w:rPr>
        <w:t xml:space="preserve">ozdział połączeń </w:t>
      </w:r>
      <w:r w:rsidR="007E6C70">
        <w:rPr>
          <w:rFonts w:cs="Tahoma"/>
        </w:rPr>
        <w:t xml:space="preserve">przychodzących dokonywany był u </w:t>
      </w:r>
      <w:r w:rsidRPr="00F11982">
        <w:rPr>
          <w:rFonts w:cs="Tahoma"/>
        </w:rPr>
        <w:t xml:space="preserve">operatora telekomunikacyjnego, po czym </w:t>
      </w:r>
      <w:r>
        <w:rPr>
          <w:rFonts w:cs="Tahoma"/>
        </w:rPr>
        <w:t xml:space="preserve">rozmowy </w:t>
      </w:r>
      <w:r w:rsidRPr="00F11982">
        <w:rPr>
          <w:rFonts w:cs="Tahoma"/>
        </w:rPr>
        <w:t>był</w:t>
      </w:r>
      <w:r>
        <w:rPr>
          <w:rFonts w:cs="Tahoma"/>
        </w:rPr>
        <w:t>y</w:t>
      </w:r>
      <w:r w:rsidRPr="00F11982">
        <w:rPr>
          <w:rFonts w:cs="Tahoma"/>
        </w:rPr>
        <w:t xml:space="preserve"> przekierowywan</w:t>
      </w:r>
      <w:r>
        <w:rPr>
          <w:rFonts w:cs="Tahoma"/>
        </w:rPr>
        <w:t>e</w:t>
      </w:r>
      <w:r w:rsidRPr="00F11982">
        <w:rPr>
          <w:rFonts w:cs="Tahoma"/>
        </w:rPr>
        <w:t xml:space="preserve"> do czterech </w:t>
      </w:r>
      <w:r>
        <w:rPr>
          <w:rFonts w:cs="Tahoma"/>
        </w:rPr>
        <w:t>b</w:t>
      </w:r>
      <w:r w:rsidRPr="00F11982">
        <w:rPr>
          <w:rFonts w:cs="Tahoma"/>
        </w:rPr>
        <w:t xml:space="preserve">iur KIP. </w:t>
      </w:r>
      <w:r w:rsidR="0031575A">
        <w:rPr>
          <w:rFonts w:cs="Tahoma"/>
          <w:spacing w:val="-4"/>
        </w:rPr>
        <w:t>Pracujący w ten sposób s</w:t>
      </w:r>
      <w:r w:rsidRPr="00F11982">
        <w:rPr>
          <w:rFonts w:cs="Tahoma"/>
        </w:rPr>
        <w:t xml:space="preserve">ystem </w:t>
      </w:r>
      <w:r w:rsidR="0031575A">
        <w:rPr>
          <w:rFonts w:cs="Tahoma"/>
        </w:rPr>
        <w:t xml:space="preserve">szukał </w:t>
      </w:r>
      <w:r w:rsidRPr="00F11982">
        <w:rPr>
          <w:rFonts w:cs="Tahoma"/>
        </w:rPr>
        <w:t>konsultanta najdłużej oczekującego na połączenie w ramach przypisanych tytułów podatkowych</w:t>
      </w:r>
      <w:r>
        <w:rPr>
          <w:rFonts w:cs="Tahoma"/>
        </w:rPr>
        <w:t xml:space="preserve">. </w:t>
      </w:r>
      <w:r w:rsidR="00504054">
        <w:rPr>
          <w:rFonts w:cs="Tahoma"/>
        </w:rPr>
        <w:t>Zmiany te </w:t>
      </w:r>
      <w:r w:rsidR="0031575A">
        <w:rPr>
          <w:rFonts w:cs="Tahoma"/>
        </w:rPr>
        <w:t xml:space="preserve">wprowadzono w </w:t>
      </w:r>
      <w:r w:rsidRPr="00F11982">
        <w:rPr>
          <w:rFonts w:cs="Tahoma"/>
        </w:rPr>
        <w:t xml:space="preserve">grudniu 2010 r. i </w:t>
      </w:r>
      <w:r w:rsidR="0031575A">
        <w:rPr>
          <w:rFonts w:cs="Tahoma"/>
        </w:rPr>
        <w:t xml:space="preserve">od tej pory </w:t>
      </w:r>
      <w:r w:rsidRPr="00F11982">
        <w:rPr>
          <w:rFonts w:cs="Tahoma"/>
        </w:rPr>
        <w:t xml:space="preserve">4 </w:t>
      </w:r>
      <w:r w:rsidR="0031575A">
        <w:rPr>
          <w:rFonts w:cs="Tahoma"/>
        </w:rPr>
        <w:t xml:space="preserve">infolinie stanowiły </w:t>
      </w:r>
      <w:r w:rsidR="00057574">
        <w:rPr>
          <w:rFonts w:cs="Tahoma"/>
        </w:rPr>
        <w:t>jeden system.</w:t>
      </w:r>
    </w:p>
    <w:p w:rsidR="00C44564" w:rsidRDefault="00C44564" w:rsidP="00832737">
      <w:pPr>
        <w:spacing w:after="120"/>
        <w:ind w:left="425"/>
        <w:jc w:val="both"/>
        <w:rPr>
          <w:rFonts w:cs="Tahoma"/>
        </w:rPr>
      </w:pPr>
      <w:r>
        <w:rPr>
          <w:rFonts w:cs="Tahoma"/>
        </w:rPr>
        <w:t>Przeprowadzona w 2013 r</w:t>
      </w:r>
      <w:r w:rsidR="007E6C70">
        <w:rPr>
          <w:rFonts w:cs="Tahoma"/>
        </w:rPr>
        <w:t>.</w:t>
      </w:r>
      <w:r>
        <w:rPr>
          <w:rFonts w:cs="Tahoma"/>
        </w:rPr>
        <w:t xml:space="preserve"> analiza funkcjonowania Krajowej Informacji Podatkowej wykazała wzrastające zapotrzebowanie na usługi infolinii</w:t>
      </w:r>
      <w:r w:rsidR="0031575A">
        <w:rPr>
          <w:rFonts w:cs="Tahoma"/>
        </w:rPr>
        <w:t xml:space="preserve">. </w:t>
      </w:r>
      <w:r w:rsidR="001C374C">
        <w:rPr>
          <w:rFonts w:cs="Tahoma"/>
        </w:rPr>
        <w:t xml:space="preserve">Było to powodem uruchomienia </w:t>
      </w:r>
      <w:r w:rsidR="00504054">
        <w:rPr>
          <w:rFonts w:cs="Tahoma"/>
        </w:rPr>
        <w:t>1 </w:t>
      </w:r>
      <w:r w:rsidR="0031575A">
        <w:rPr>
          <w:rFonts w:cs="Tahoma"/>
        </w:rPr>
        <w:t xml:space="preserve">stycznia </w:t>
      </w:r>
      <w:r w:rsidR="00545FC9">
        <w:rPr>
          <w:rFonts w:cs="Tahoma"/>
        </w:rPr>
        <w:br/>
      </w:r>
      <w:r w:rsidR="0031575A">
        <w:rPr>
          <w:rFonts w:cs="Tahoma"/>
        </w:rPr>
        <w:t>2015 r. w</w:t>
      </w:r>
      <w:r>
        <w:rPr>
          <w:rFonts w:cs="Tahoma"/>
        </w:rPr>
        <w:t xml:space="preserve"> Będzinie kolejne</w:t>
      </w:r>
      <w:r w:rsidR="0031575A">
        <w:rPr>
          <w:rFonts w:cs="Tahoma"/>
        </w:rPr>
        <w:t>go biura KIP.</w:t>
      </w:r>
      <w:r>
        <w:rPr>
          <w:rFonts w:cs="Tahoma"/>
        </w:rPr>
        <w:t xml:space="preserve"> Już po pierwszym miesiącu </w:t>
      </w:r>
      <w:r w:rsidR="0031575A">
        <w:rPr>
          <w:rFonts w:cs="Tahoma"/>
        </w:rPr>
        <w:t xml:space="preserve">jego </w:t>
      </w:r>
      <w:r>
        <w:rPr>
          <w:rFonts w:cs="Tahoma"/>
        </w:rPr>
        <w:t xml:space="preserve">działania </w:t>
      </w:r>
      <w:r w:rsidR="0031575A">
        <w:rPr>
          <w:rFonts w:cs="Tahoma"/>
        </w:rPr>
        <w:t>zaobserwowano</w:t>
      </w:r>
      <w:r>
        <w:rPr>
          <w:rFonts w:cs="Tahoma"/>
        </w:rPr>
        <w:t xml:space="preserve"> znaczący wzrost odebranych połączeń od podatników. Zwiększenie zasobów kadrowych</w:t>
      </w:r>
      <w:r w:rsidR="0031575A">
        <w:rPr>
          <w:rFonts w:cs="Tahoma"/>
        </w:rPr>
        <w:t xml:space="preserve"> </w:t>
      </w:r>
      <w:r>
        <w:rPr>
          <w:rFonts w:cs="Tahoma"/>
        </w:rPr>
        <w:t xml:space="preserve">związane było także z potrzebą zapewnienia jak największej odbieralności oraz realizacją wzmocnienia i rozwoju administracji podatkowej w zakresie wsparcia podatnika oraz </w:t>
      </w:r>
      <w:r>
        <w:rPr>
          <w:rFonts w:cs="Tahoma"/>
        </w:rPr>
        <w:lastRenderedPageBreak/>
        <w:t>wsparcia merytorycznego urzędów skarbowych.</w:t>
      </w:r>
      <w:r w:rsidR="00BB4AC1">
        <w:rPr>
          <w:rFonts w:cs="Tahoma"/>
        </w:rPr>
        <w:t xml:space="preserve"> P</w:t>
      </w:r>
      <w:r>
        <w:rPr>
          <w:rFonts w:cs="Tahoma"/>
        </w:rPr>
        <w:t xml:space="preserve">ozwoliło </w:t>
      </w:r>
      <w:r w:rsidR="00BB4AC1">
        <w:rPr>
          <w:rFonts w:cs="Tahoma"/>
        </w:rPr>
        <w:t xml:space="preserve">ponadto </w:t>
      </w:r>
      <w:r>
        <w:rPr>
          <w:rFonts w:cs="Tahoma"/>
        </w:rPr>
        <w:t>na poszerzenie zakresu udzielanych informacji o pomoc techniczną dla projektu e-Deklaracje oraz zwiększenie liczby konsultantów udzielających inform</w:t>
      </w:r>
      <w:r w:rsidR="007E6C70">
        <w:rPr>
          <w:rFonts w:cs="Tahoma"/>
        </w:rPr>
        <w:t xml:space="preserve">acji w </w:t>
      </w:r>
      <w:r>
        <w:rPr>
          <w:rFonts w:cs="Tahoma"/>
        </w:rPr>
        <w:t>zakresie elektron</w:t>
      </w:r>
      <w:r w:rsidR="00057574">
        <w:rPr>
          <w:rFonts w:cs="Tahoma"/>
        </w:rPr>
        <w:t>icznego wypełniania deklaracji.</w:t>
      </w:r>
    </w:p>
    <w:p w:rsidR="00C44564" w:rsidRDefault="00C44564" w:rsidP="00832737">
      <w:pPr>
        <w:spacing w:after="120"/>
        <w:ind w:left="425"/>
        <w:jc w:val="both"/>
        <w:rPr>
          <w:rFonts w:cs="Tahoma"/>
        </w:rPr>
      </w:pPr>
      <w:r>
        <w:rPr>
          <w:rFonts w:cs="Tahoma"/>
        </w:rPr>
        <w:t>Po uruchomieniu Portalu Podatkowego oraz wprowadzeniu od 2015 r</w:t>
      </w:r>
      <w:r w:rsidR="00CE77C4">
        <w:rPr>
          <w:rFonts w:cs="Tahoma"/>
        </w:rPr>
        <w:t>.</w:t>
      </w:r>
      <w:r>
        <w:rPr>
          <w:rFonts w:cs="Tahoma"/>
        </w:rPr>
        <w:t xml:space="preserve"> usługi wstępnie wypełnionego zeznania podatkowego</w:t>
      </w:r>
      <w:r w:rsidR="00BB4AC1">
        <w:rPr>
          <w:rFonts w:cs="Tahoma"/>
        </w:rPr>
        <w:t xml:space="preserve"> (PFR)</w:t>
      </w:r>
      <w:r>
        <w:rPr>
          <w:rFonts w:cs="Tahoma"/>
        </w:rPr>
        <w:t xml:space="preserve"> właśnie pracownicy biura Krajowej Informacji Podatkowej w Będzinie, oprócz pracowników biura Krajowej Informacji Podatkowej w</w:t>
      </w:r>
      <w:r w:rsidR="00CE77C4">
        <w:rPr>
          <w:rFonts w:cs="Tahoma"/>
        </w:rPr>
        <w:t xml:space="preserve"> </w:t>
      </w:r>
      <w:r>
        <w:rPr>
          <w:rFonts w:cs="Tahoma"/>
        </w:rPr>
        <w:t>Lesznie przejęli udzielanie informacji na zapytania telefoniczne d</w:t>
      </w:r>
      <w:r w:rsidR="00504054">
        <w:rPr>
          <w:rFonts w:cs="Tahoma"/>
        </w:rPr>
        <w:t>otyczące zarówno procedur</w:t>
      </w:r>
      <w:r w:rsidR="00057574">
        <w:rPr>
          <w:rFonts w:cs="Tahoma"/>
        </w:rPr>
        <w:t>,</w:t>
      </w:r>
      <w:r w:rsidR="00504054">
        <w:rPr>
          <w:rFonts w:cs="Tahoma"/>
        </w:rPr>
        <w:t xml:space="preserve"> </w:t>
      </w:r>
      <w:r w:rsidR="00CE77C4">
        <w:rPr>
          <w:rFonts w:cs="Tahoma"/>
        </w:rPr>
        <w:br/>
      </w:r>
      <w:r w:rsidR="00504054">
        <w:rPr>
          <w:rFonts w:cs="Tahoma"/>
        </w:rPr>
        <w:t>jak</w:t>
      </w:r>
      <w:r w:rsidR="00CE77C4">
        <w:rPr>
          <w:rFonts w:cs="Tahoma"/>
        </w:rPr>
        <w:t xml:space="preserve"> i </w:t>
      </w:r>
      <w:r>
        <w:rPr>
          <w:rFonts w:cs="Tahoma"/>
        </w:rPr>
        <w:t>pomocy technicznej.</w:t>
      </w:r>
    </w:p>
    <w:p w:rsidR="00C44564" w:rsidRDefault="00BB4AC1" w:rsidP="00832737">
      <w:pPr>
        <w:spacing w:after="120"/>
        <w:ind w:left="425"/>
        <w:jc w:val="both"/>
      </w:pPr>
      <w:r>
        <w:rPr>
          <w:rFonts w:cs="Tahoma"/>
        </w:rPr>
        <w:t>U</w:t>
      </w:r>
      <w:r w:rsidR="00C44564" w:rsidRPr="00F11982">
        <w:rPr>
          <w:rFonts w:cs="Tahoma"/>
        </w:rPr>
        <w:t>ruchomienie nowego biura i tym samym zwiększenie liczby konsultantów oraz coraz większe zapotrzebowanie na usługi infolinii po raz kolejny wymogły zmiany informatyczno</w:t>
      </w:r>
      <w:r w:rsidR="00057574">
        <w:rPr>
          <w:rFonts w:cs="Tahoma"/>
        </w:rPr>
        <w:t>-</w:t>
      </w:r>
      <w:r w:rsidR="00C44564" w:rsidRPr="00F11982">
        <w:rPr>
          <w:rFonts w:cs="Tahoma"/>
        </w:rPr>
        <w:t xml:space="preserve">telekomunikacyjne. </w:t>
      </w:r>
      <w:r>
        <w:rPr>
          <w:rFonts w:cs="Tahoma"/>
        </w:rPr>
        <w:t>Ich e</w:t>
      </w:r>
      <w:r w:rsidR="00C44564" w:rsidRPr="00F11982">
        <w:rPr>
          <w:rFonts w:cs="Tahoma"/>
        </w:rPr>
        <w:t>fektem było uruchomienie w</w:t>
      </w:r>
      <w:r w:rsidR="00CE77C4">
        <w:rPr>
          <w:rFonts w:cs="Tahoma"/>
        </w:rPr>
        <w:t xml:space="preserve"> </w:t>
      </w:r>
      <w:r w:rsidR="00C44564" w:rsidRPr="00F11982">
        <w:rPr>
          <w:rFonts w:cs="Tahoma"/>
        </w:rPr>
        <w:t>sierpniu 2015 r. nowego S</w:t>
      </w:r>
      <w:r>
        <w:rPr>
          <w:rFonts w:cs="Tahoma"/>
        </w:rPr>
        <w:t>ystemu Informacji Telefonicznej. P</w:t>
      </w:r>
      <w:r w:rsidR="00C44564" w:rsidRPr="00B14295">
        <w:t>olepszy</w:t>
      </w:r>
      <w:r w:rsidR="00C44564">
        <w:t>ł</w:t>
      </w:r>
      <w:r w:rsidR="00C44564" w:rsidRPr="00B14295">
        <w:t xml:space="preserve"> </w:t>
      </w:r>
      <w:r>
        <w:t xml:space="preserve">on </w:t>
      </w:r>
      <w:r w:rsidR="00C44564" w:rsidRPr="00B14295">
        <w:t>jakość obsługi podatników głównie dzięki optymalizacji wykorzystania dotychczasowych zas</w:t>
      </w:r>
      <w:r w:rsidR="00CE77C4">
        <w:t xml:space="preserve">obów oraz większej wydajności i </w:t>
      </w:r>
      <w:r w:rsidR="00C44564" w:rsidRPr="00B14295">
        <w:t xml:space="preserve">efektywności systemu. Widocznym </w:t>
      </w:r>
      <w:r>
        <w:t xml:space="preserve">dla podatników </w:t>
      </w:r>
      <w:r w:rsidR="00C44564" w:rsidRPr="00B14295">
        <w:t xml:space="preserve">efektem </w:t>
      </w:r>
      <w:r w:rsidR="00C44564">
        <w:t>było</w:t>
      </w:r>
      <w:r w:rsidR="00C44564" w:rsidRPr="00B14295">
        <w:t xml:space="preserve"> skrócenie</w:t>
      </w:r>
      <w:r w:rsidR="001C374C">
        <w:t xml:space="preserve"> czasu oczekiwania na rozmowę z </w:t>
      </w:r>
      <w:r w:rsidR="00C44564" w:rsidRPr="00B14295">
        <w:t>konsultantem.</w:t>
      </w:r>
      <w:r w:rsidR="00C44564">
        <w:t xml:space="preserve"> </w:t>
      </w:r>
      <w:r w:rsidR="00C44564" w:rsidRPr="00B14295">
        <w:t xml:space="preserve">Nowy system </w:t>
      </w:r>
      <w:r w:rsidR="00C44564">
        <w:t xml:space="preserve">pozwala </w:t>
      </w:r>
      <w:r w:rsidR="00C44564" w:rsidRPr="00B14295">
        <w:t>obsłużyć 600 jednoczesnych połączeń telefonicznych, zamiast dotychczasowych 220</w:t>
      </w:r>
      <w:r w:rsidR="00C44564">
        <w:t>.</w:t>
      </w:r>
      <w:r w:rsidR="00C44564" w:rsidRPr="00B14295">
        <w:t xml:space="preserve"> </w:t>
      </w:r>
      <w:r w:rsidR="00C44564">
        <w:t>Z</w:t>
      </w:r>
      <w:r w:rsidR="00C44564" w:rsidRPr="00B14295">
        <w:t>większona przepustowość infolinii Krajowej Informacji Podatkowej</w:t>
      </w:r>
      <w:r w:rsidR="00C44564">
        <w:t xml:space="preserve"> </w:t>
      </w:r>
      <w:r w:rsidR="00C44564" w:rsidRPr="00B14295">
        <w:t>pozwala na obsługę większej ilości jednoczesnych rozmów telefonicznych, w tym zapytań pr</w:t>
      </w:r>
      <w:r w:rsidR="00C44564">
        <w:t xml:space="preserve">acowników urzędów skarbowych. </w:t>
      </w:r>
      <w:r w:rsidR="00C44564" w:rsidRPr="00B14295">
        <w:t>System Informacji Telefonicznej umożliwi</w:t>
      </w:r>
      <w:r w:rsidR="00C44564">
        <w:t>a</w:t>
      </w:r>
      <w:r w:rsidR="00C44564" w:rsidRPr="00B14295">
        <w:t xml:space="preserve"> także obsługę podatnika w ramach komunikacji wielokanałowej, poprzez: telefon, e-mail i chat.</w:t>
      </w:r>
      <w:r w:rsidR="00C44564">
        <w:t xml:space="preserve"> Z</w:t>
      </w:r>
      <w:r w:rsidR="00C44564" w:rsidRPr="00B14295">
        <w:t xml:space="preserve">aletą wdrożonego systemu jest </w:t>
      </w:r>
      <w:r w:rsidR="00C44564">
        <w:t xml:space="preserve">także </w:t>
      </w:r>
      <w:r w:rsidR="00C44564" w:rsidRPr="00B14295">
        <w:t>możliwość analizowania natężenia ruchu</w:t>
      </w:r>
      <w:r w:rsidR="00C44564">
        <w:t>, co p</w:t>
      </w:r>
      <w:r w:rsidR="00C44564" w:rsidRPr="00B14295">
        <w:t>ozw</w:t>
      </w:r>
      <w:r w:rsidR="00C44564">
        <w:t>ala</w:t>
      </w:r>
      <w:r w:rsidR="00C44564" w:rsidRPr="00B14295">
        <w:t xml:space="preserve"> efektywn</w:t>
      </w:r>
      <w:r w:rsidR="00CE77C4">
        <w:t xml:space="preserve">iej zarządzać pracą personelu i </w:t>
      </w:r>
      <w:r w:rsidR="00C44564" w:rsidRPr="00B14295">
        <w:t>planować adekwatną dla obciążenia obsadę infolinii. Zastosowane rozwiązania zapewni</w:t>
      </w:r>
      <w:r w:rsidR="00C44564">
        <w:t xml:space="preserve">ają </w:t>
      </w:r>
      <w:r w:rsidR="00C44564" w:rsidRPr="00B14295">
        <w:t>także wysoką jakość prowadzonych</w:t>
      </w:r>
      <w:r w:rsidR="001C374C">
        <w:t xml:space="preserve"> rozmów i </w:t>
      </w:r>
      <w:r w:rsidR="00C44564" w:rsidRPr="00B14295">
        <w:t>profesjonalizm obsługi podatników realizowanej przez konsultantów infolinii KIP.</w:t>
      </w:r>
    </w:p>
    <w:p w:rsidR="00C44564" w:rsidRPr="00296633" w:rsidRDefault="00C44564" w:rsidP="0036761F">
      <w:pPr>
        <w:spacing w:after="120"/>
        <w:ind w:left="425"/>
        <w:jc w:val="both"/>
        <w:rPr>
          <w:sz w:val="20"/>
          <w:szCs w:val="20"/>
        </w:rPr>
      </w:pPr>
    </w:p>
    <w:p w:rsidR="00C44564" w:rsidRPr="00A95AD5" w:rsidRDefault="00C44564" w:rsidP="0036761F">
      <w:pPr>
        <w:pStyle w:val="Akapitzlist"/>
        <w:numPr>
          <w:ilvl w:val="6"/>
          <w:numId w:val="12"/>
        </w:numPr>
        <w:autoSpaceDE w:val="0"/>
        <w:autoSpaceDN w:val="0"/>
        <w:adjustRightInd w:val="0"/>
        <w:spacing w:after="120"/>
        <w:ind w:left="1134" w:hanging="283"/>
        <w:jc w:val="both"/>
        <w:outlineLvl w:val="0"/>
        <w:rPr>
          <w:rFonts w:asciiTheme="minorHAnsi" w:hAnsiTheme="minorHAnsi"/>
        </w:rPr>
      </w:pPr>
      <w:bookmarkStart w:id="31" w:name="_Toc454976073"/>
      <w:r w:rsidRPr="00A95AD5">
        <w:rPr>
          <w:rFonts w:asciiTheme="minorHAnsi" w:hAnsiTheme="minorHAnsi"/>
          <w:b/>
          <w:smallCaps/>
          <w:color w:val="365F91" w:themeColor="accent1" w:themeShade="BF"/>
        </w:rPr>
        <w:t>INTERPRETACJE INDYWIDUALNE.</w:t>
      </w:r>
      <w:bookmarkEnd w:id="31"/>
    </w:p>
    <w:p w:rsidR="00756C02" w:rsidRPr="00296633" w:rsidRDefault="00756C02" w:rsidP="0036761F">
      <w:pPr>
        <w:autoSpaceDE w:val="0"/>
        <w:autoSpaceDN w:val="0"/>
        <w:adjustRightInd w:val="0"/>
        <w:spacing w:after="120"/>
        <w:ind w:left="426"/>
        <w:jc w:val="both"/>
        <w:outlineLvl w:val="0"/>
        <w:rPr>
          <w:rFonts w:asciiTheme="minorHAnsi" w:hAnsiTheme="minorHAnsi"/>
          <w:sz w:val="20"/>
          <w:szCs w:val="20"/>
        </w:rPr>
      </w:pPr>
    </w:p>
    <w:p w:rsidR="00C44564" w:rsidRDefault="00C44564" w:rsidP="00832737">
      <w:pPr>
        <w:spacing w:after="120"/>
        <w:ind w:left="425"/>
        <w:jc w:val="both"/>
        <w:rPr>
          <w:rFonts w:eastAsia="Times New Roman"/>
        </w:rPr>
      </w:pPr>
      <w:r>
        <w:rPr>
          <w:rFonts w:eastAsia="Times New Roman"/>
        </w:rPr>
        <w:t>Minister Finansów dążąc do zapewnienia jednolitej interpretacji przepisów prawa podatkowego podął decyzję o przekazaniu 1 lipca 2007 r</w:t>
      </w:r>
      <w:r w:rsidR="00CE77C4">
        <w:rPr>
          <w:rFonts w:eastAsia="Times New Roman"/>
        </w:rPr>
        <w:t>.</w:t>
      </w:r>
      <w:r>
        <w:rPr>
          <w:rFonts w:eastAsia="Times New Roman"/>
        </w:rPr>
        <w:t xml:space="preserve"> Krajowej Informacji Podatkowej nowego zadania polegającego na wydawaniu interpretacji. </w:t>
      </w:r>
      <w:r w:rsidRPr="0091337C">
        <w:rPr>
          <w:rFonts w:eastAsia="Times New Roman"/>
        </w:rPr>
        <w:t>Wcześniej interpretowaniem przepisów prawa podatkowego zajmowały się urzędy skarbowe</w:t>
      </w:r>
      <w:r>
        <w:rPr>
          <w:rFonts w:eastAsia="Times New Roman"/>
        </w:rPr>
        <w:t>.</w:t>
      </w:r>
    </w:p>
    <w:p w:rsidR="00C44564" w:rsidRPr="0091337C" w:rsidRDefault="00BB4AC1" w:rsidP="00832737">
      <w:pPr>
        <w:spacing w:after="120"/>
        <w:ind w:left="425"/>
        <w:jc w:val="both"/>
        <w:rPr>
          <w:rFonts w:eastAsia="Times New Roman"/>
        </w:rPr>
      </w:pPr>
      <w:r>
        <w:rPr>
          <w:rFonts w:eastAsia="Times New Roman"/>
        </w:rPr>
        <w:t>Interpretacje indywidualne m</w:t>
      </w:r>
      <w:r w:rsidR="00C44564" w:rsidRPr="0091337C">
        <w:rPr>
          <w:rFonts w:eastAsia="Times New Roman"/>
        </w:rPr>
        <w:t>ają na celu zagwarantowanie podatnikowi bezpieczeństwa podatkowego poprzez określoną w</w:t>
      </w:r>
      <w:r w:rsidR="00C44564">
        <w:rPr>
          <w:rFonts w:eastAsia="Times New Roman"/>
        </w:rPr>
        <w:t xml:space="preserve"> </w:t>
      </w:r>
      <w:r w:rsidR="00C44564" w:rsidRPr="0091337C">
        <w:rPr>
          <w:rFonts w:eastAsia="Times New Roman"/>
        </w:rPr>
        <w:t>przepisach Ordynacji podatkowej ochronę. W ten sposób podatnicy zwiększają również swoją wiedzę co do własnych obowiązków podatkowych. Interpretacje indywi</w:t>
      </w:r>
      <w:r w:rsidR="00CE77C4">
        <w:rPr>
          <w:rFonts w:eastAsia="Times New Roman"/>
        </w:rPr>
        <w:t xml:space="preserve">dualne pozostają także ważnym i </w:t>
      </w:r>
      <w:r w:rsidR="00C44564" w:rsidRPr="0091337C">
        <w:rPr>
          <w:rFonts w:eastAsia="Times New Roman"/>
        </w:rPr>
        <w:t>skutecznym elementem planowania podatkowego. Interpretacje indywidualne publikowane są w Biuletynie Informacji Publicznej (</w:t>
      </w:r>
      <w:hyperlink r:id="rId16" w:history="1">
        <w:r w:rsidR="00C44564" w:rsidRPr="00CE77C4">
          <w:rPr>
            <w:rStyle w:val="Hipercze"/>
            <w:rFonts w:eastAsia="Times New Roman"/>
            <w:color w:val="auto"/>
            <w:u w:val="none"/>
          </w:rPr>
          <w:t>http://sip.mf.gov.pl/sip/</w:t>
        </w:r>
      </w:hyperlink>
      <w:r w:rsidR="00C44564" w:rsidRPr="0091337C">
        <w:rPr>
          <w:rFonts w:eastAsia="Times New Roman"/>
        </w:rPr>
        <w:t>) stanowiąc ważne źródło inform</w:t>
      </w:r>
      <w:r w:rsidR="00057574">
        <w:rPr>
          <w:rFonts w:eastAsia="Times New Roman"/>
        </w:rPr>
        <w:t>acji dla wszystkich podatników.</w:t>
      </w:r>
    </w:p>
    <w:p w:rsidR="00C44564" w:rsidRPr="0091337C" w:rsidRDefault="00C44564" w:rsidP="0036761F">
      <w:pPr>
        <w:spacing w:after="120"/>
        <w:ind w:left="425"/>
        <w:jc w:val="both"/>
        <w:rPr>
          <w:rFonts w:eastAsia="Times New Roman"/>
        </w:rPr>
      </w:pPr>
      <w:r w:rsidRPr="0091337C">
        <w:rPr>
          <w:rFonts w:eastAsia="Times New Roman"/>
        </w:rPr>
        <w:t>Zgodnie z zapisami zawartymi w Ordynacji podatkowej od 1 lipca 2007 r. za wydawanie interpretacji podatkowych odpowiedzialny jest Mini</w:t>
      </w:r>
      <w:r w:rsidR="00057574">
        <w:rPr>
          <w:rFonts w:eastAsia="Times New Roman"/>
        </w:rPr>
        <w:t xml:space="preserve">ster Finansów, który upoważnił </w:t>
      </w:r>
      <w:r w:rsidRPr="0091337C">
        <w:rPr>
          <w:rFonts w:eastAsia="Times New Roman"/>
        </w:rPr>
        <w:t>Dyrektorów Izb Skarbow</w:t>
      </w:r>
      <w:r w:rsidR="00057574">
        <w:rPr>
          <w:rFonts w:eastAsia="Times New Roman"/>
        </w:rPr>
        <w:t xml:space="preserve">ych w: Bydgoszczy, Katowicach, Poznaniu i Warszawie </w:t>
      </w:r>
      <w:r w:rsidRPr="0091337C">
        <w:rPr>
          <w:rFonts w:eastAsia="Times New Roman"/>
        </w:rPr>
        <w:t xml:space="preserve">do wydawania – w jego imieniu – interpretacji indywidualnych. </w:t>
      </w:r>
      <w:r w:rsidR="00C064AF">
        <w:rPr>
          <w:rFonts w:eastAsia="Times New Roman"/>
        </w:rPr>
        <w:t>Na początku k</w:t>
      </w:r>
      <w:r w:rsidRPr="0091337C">
        <w:rPr>
          <w:rFonts w:eastAsia="Times New Roman"/>
        </w:rPr>
        <w:t xml:space="preserve">ażde </w:t>
      </w:r>
      <w:r w:rsidR="001C374C">
        <w:rPr>
          <w:rFonts w:eastAsia="Times New Roman"/>
        </w:rPr>
        <w:t xml:space="preserve">z </w:t>
      </w:r>
      <w:r w:rsidR="00C064AF">
        <w:rPr>
          <w:rFonts w:eastAsia="Times New Roman"/>
        </w:rPr>
        <w:t>b</w:t>
      </w:r>
      <w:r w:rsidR="001C374C">
        <w:rPr>
          <w:rFonts w:eastAsia="Times New Roman"/>
        </w:rPr>
        <w:t>iur wydawało interpretacje w </w:t>
      </w:r>
      <w:r w:rsidRPr="0091337C">
        <w:rPr>
          <w:rFonts w:eastAsia="Times New Roman"/>
        </w:rPr>
        <w:t>zakresie wszystkich podatków, natomiast właściwość ustalało się na podstawie miejsca zamieszkania bądź siedziby podatnika. S</w:t>
      </w:r>
      <w:r w:rsidR="00057574">
        <w:rPr>
          <w:rFonts w:eastAsia="Times New Roman"/>
        </w:rPr>
        <w:t>kupienie</w:t>
      </w:r>
      <w:r w:rsidRPr="0091337C">
        <w:rPr>
          <w:rFonts w:eastAsia="Times New Roman"/>
        </w:rPr>
        <w:t xml:space="preserve"> wydaw</w:t>
      </w:r>
      <w:r w:rsidR="00057574">
        <w:rPr>
          <w:rFonts w:eastAsia="Times New Roman"/>
        </w:rPr>
        <w:t xml:space="preserve">ania interpretacji </w:t>
      </w:r>
      <w:r w:rsidR="00C064AF">
        <w:rPr>
          <w:rFonts w:eastAsia="Times New Roman"/>
        </w:rPr>
        <w:t>w</w:t>
      </w:r>
      <w:r w:rsidR="00CE77C4">
        <w:rPr>
          <w:rFonts w:eastAsia="Times New Roman"/>
        </w:rPr>
        <w:t xml:space="preserve"> 4</w:t>
      </w:r>
      <w:r w:rsidRPr="0091337C">
        <w:rPr>
          <w:rFonts w:eastAsia="Times New Roman"/>
        </w:rPr>
        <w:t xml:space="preserve"> </w:t>
      </w:r>
      <w:r w:rsidR="00C064AF">
        <w:rPr>
          <w:rFonts w:eastAsia="Times New Roman"/>
        </w:rPr>
        <w:t>b</w:t>
      </w:r>
      <w:r w:rsidRPr="0091337C">
        <w:rPr>
          <w:rFonts w:eastAsia="Times New Roman"/>
        </w:rPr>
        <w:t>iurach miało na celu ujednolicenie stanowisk zajmowanych przez organy podatkowe.</w:t>
      </w:r>
    </w:p>
    <w:p w:rsidR="00C44564" w:rsidRPr="0091337C" w:rsidRDefault="00C44564" w:rsidP="00832737">
      <w:pPr>
        <w:spacing w:after="120"/>
        <w:ind w:left="425"/>
        <w:jc w:val="both"/>
        <w:rPr>
          <w:rFonts w:eastAsia="Times New Roman"/>
        </w:rPr>
      </w:pPr>
      <w:r w:rsidRPr="0091337C">
        <w:rPr>
          <w:rFonts w:eastAsia="Times New Roman"/>
        </w:rPr>
        <w:lastRenderedPageBreak/>
        <w:t xml:space="preserve">Ze względu na duże zainteresowanie interpretacjami podatkowymi oraz obciążenie pracą </w:t>
      </w:r>
      <w:r>
        <w:rPr>
          <w:rFonts w:eastAsia="Times New Roman"/>
        </w:rPr>
        <w:t>b</w:t>
      </w:r>
      <w:r w:rsidRPr="0091337C">
        <w:rPr>
          <w:rFonts w:eastAsia="Times New Roman"/>
        </w:rPr>
        <w:t>iur K</w:t>
      </w:r>
      <w:r>
        <w:rPr>
          <w:rFonts w:eastAsia="Times New Roman"/>
        </w:rPr>
        <w:t xml:space="preserve">rajowej </w:t>
      </w:r>
      <w:r w:rsidRPr="0091337C">
        <w:rPr>
          <w:rFonts w:eastAsia="Times New Roman"/>
        </w:rPr>
        <w:t>I</w:t>
      </w:r>
      <w:r>
        <w:rPr>
          <w:rFonts w:eastAsia="Times New Roman"/>
        </w:rPr>
        <w:t xml:space="preserve">nformacji </w:t>
      </w:r>
      <w:r w:rsidRPr="0091337C">
        <w:rPr>
          <w:rFonts w:eastAsia="Times New Roman"/>
        </w:rPr>
        <w:t>P</w:t>
      </w:r>
      <w:r>
        <w:rPr>
          <w:rFonts w:eastAsia="Times New Roman"/>
        </w:rPr>
        <w:t xml:space="preserve">odatkowej </w:t>
      </w:r>
      <w:r w:rsidR="00C064AF">
        <w:rPr>
          <w:rFonts w:eastAsia="Times New Roman"/>
        </w:rPr>
        <w:t>w kwietniu</w:t>
      </w:r>
      <w:r w:rsidRPr="0091337C">
        <w:rPr>
          <w:rFonts w:eastAsia="Times New Roman"/>
        </w:rPr>
        <w:t xml:space="preserve"> 2011 r. powstało kolejne Biuro w Piotrkowie Trybunalskim (organ upoważniony Dyrektor Izby Skarbowej w Łodzi).</w:t>
      </w:r>
    </w:p>
    <w:p w:rsidR="00C44564" w:rsidRPr="0091337C" w:rsidRDefault="00C44564" w:rsidP="00832737">
      <w:pPr>
        <w:spacing w:after="120"/>
        <w:ind w:left="425"/>
        <w:jc w:val="both"/>
        <w:rPr>
          <w:rFonts w:eastAsia="Times New Roman"/>
        </w:rPr>
      </w:pPr>
      <w:r>
        <w:rPr>
          <w:rFonts w:eastAsia="Times New Roman"/>
        </w:rPr>
        <w:t xml:space="preserve">Następna zmiana </w:t>
      </w:r>
      <w:r w:rsidRPr="0091337C">
        <w:rPr>
          <w:rFonts w:eastAsia="Times New Roman"/>
        </w:rPr>
        <w:t xml:space="preserve">we właściwości </w:t>
      </w:r>
      <w:r>
        <w:rPr>
          <w:rFonts w:eastAsia="Times New Roman"/>
        </w:rPr>
        <w:t>b</w:t>
      </w:r>
      <w:r w:rsidRPr="0091337C">
        <w:rPr>
          <w:rFonts w:eastAsia="Times New Roman"/>
        </w:rPr>
        <w:t>iur K</w:t>
      </w:r>
      <w:r>
        <w:rPr>
          <w:rFonts w:eastAsia="Times New Roman"/>
        </w:rPr>
        <w:t xml:space="preserve">rajowej </w:t>
      </w:r>
      <w:r w:rsidRPr="0091337C">
        <w:rPr>
          <w:rFonts w:eastAsia="Times New Roman"/>
        </w:rPr>
        <w:t>I</w:t>
      </w:r>
      <w:r>
        <w:rPr>
          <w:rFonts w:eastAsia="Times New Roman"/>
        </w:rPr>
        <w:t xml:space="preserve">nformacji </w:t>
      </w:r>
      <w:r w:rsidRPr="0091337C">
        <w:rPr>
          <w:rFonts w:eastAsia="Times New Roman"/>
        </w:rPr>
        <w:t>P</w:t>
      </w:r>
      <w:r>
        <w:rPr>
          <w:rFonts w:eastAsia="Times New Roman"/>
        </w:rPr>
        <w:t>odatkowej</w:t>
      </w:r>
      <w:r w:rsidR="00057574">
        <w:rPr>
          <w:rFonts w:eastAsia="Times New Roman"/>
        </w:rPr>
        <w:t xml:space="preserve"> nastąpiła </w:t>
      </w:r>
      <w:r w:rsidRPr="0091337C">
        <w:rPr>
          <w:rFonts w:eastAsia="Times New Roman"/>
        </w:rPr>
        <w:t>1 lipca 2015 r. Od tej daty</w:t>
      </w:r>
      <w:r w:rsidR="009E45C4">
        <w:rPr>
          <w:rFonts w:eastAsia="Times New Roman"/>
        </w:rPr>
        <w:t>,</w:t>
      </w:r>
      <w:r w:rsidRPr="0091337C">
        <w:rPr>
          <w:rFonts w:eastAsia="Times New Roman"/>
        </w:rPr>
        <w:t xml:space="preserve"> o tym gdzie należy wysyłać wniosek decyduje </w:t>
      </w:r>
      <w:r w:rsidR="00C064AF">
        <w:rPr>
          <w:rFonts w:eastAsia="Times New Roman"/>
        </w:rPr>
        <w:t xml:space="preserve">zarówno </w:t>
      </w:r>
      <w:r w:rsidRPr="0091337C">
        <w:rPr>
          <w:rFonts w:eastAsia="Times New Roman"/>
        </w:rPr>
        <w:t xml:space="preserve">rodzaj podatku, w zakresie którego </w:t>
      </w:r>
      <w:r>
        <w:rPr>
          <w:rFonts w:eastAsia="Times New Roman"/>
        </w:rPr>
        <w:t>jest on składany</w:t>
      </w:r>
      <w:r w:rsidR="00C064AF">
        <w:rPr>
          <w:rFonts w:eastAsia="Times New Roman"/>
        </w:rPr>
        <w:t xml:space="preserve">, jak i </w:t>
      </w:r>
      <w:r w:rsidRPr="0091337C">
        <w:rPr>
          <w:rFonts w:eastAsia="Times New Roman"/>
        </w:rPr>
        <w:t>miejsce zamieszkania lub</w:t>
      </w:r>
      <w:r w:rsidR="00CE77C4">
        <w:rPr>
          <w:rFonts w:eastAsia="Times New Roman"/>
        </w:rPr>
        <w:t xml:space="preserve"> miejsce siedziby wnioskodawcy.</w:t>
      </w:r>
    </w:p>
    <w:p w:rsidR="00C44564" w:rsidRPr="0091337C" w:rsidRDefault="00C44564" w:rsidP="00832737">
      <w:pPr>
        <w:spacing w:after="120"/>
        <w:ind w:left="426"/>
        <w:jc w:val="both"/>
        <w:rPr>
          <w:rFonts w:eastAsia="Times New Roman"/>
        </w:rPr>
      </w:pPr>
      <w:r w:rsidRPr="0091337C">
        <w:rPr>
          <w:rFonts w:eastAsia="Times New Roman"/>
        </w:rPr>
        <w:t xml:space="preserve">Na przestrzeni 10 lat działalności </w:t>
      </w:r>
      <w:r>
        <w:rPr>
          <w:rFonts w:eastAsia="Times New Roman"/>
        </w:rPr>
        <w:t>b</w:t>
      </w:r>
      <w:r w:rsidRPr="0091337C">
        <w:rPr>
          <w:rFonts w:eastAsia="Times New Roman"/>
        </w:rPr>
        <w:t>iur K</w:t>
      </w:r>
      <w:r>
        <w:rPr>
          <w:rFonts w:eastAsia="Times New Roman"/>
        </w:rPr>
        <w:t xml:space="preserve">rajowej </w:t>
      </w:r>
      <w:r w:rsidRPr="0091337C">
        <w:rPr>
          <w:rFonts w:eastAsia="Times New Roman"/>
        </w:rPr>
        <w:t>I</w:t>
      </w:r>
      <w:r>
        <w:rPr>
          <w:rFonts w:eastAsia="Times New Roman"/>
        </w:rPr>
        <w:t xml:space="preserve">nformacji </w:t>
      </w:r>
      <w:r w:rsidRPr="0091337C">
        <w:rPr>
          <w:rFonts w:eastAsia="Times New Roman"/>
        </w:rPr>
        <w:t>P</w:t>
      </w:r>
      <w:r>
        <w:rPr>
          <w:rFonts w:eastAsia="Times New Roman"/>
        </w:rPr>
        <w:t>odatkowej</w:t>
      </w:r>
      <w:r w:rsidRPr="0091337C">
        <w:rPr>
          <w:rFonts w:eastAsia="Times New Roman"/>
        </w:rPr>
        <w:t xml:space="preserve"> wprowadzono również zmianę dotyczącą opłaty od wniosk</w:t>
      </w:r>
      <w:r w:rsidR="00057574">
        <w:rPr>
          <w:rFonts w:eastAsia="Times New Roman"/>
        </w:rPr>
        <w:t xml:space="preserve">u. Początkowo wniosek o </w:t>
      </w:r>
      <w:r w:rsidRPr="0091337C">
        <w:rPr>
          <w:rFonts w:eastAsia="Times New Roman"/>
        </w:rPr>
        <w:t>wydanie i</w:t>
      </w:r>
      <w:r w:rsidR="00057574">
        <w:rPr>
          <w:rFonts w:eastAsia="Times New Roman"/>
        </w:rPr>
        <w:t xml:space="preserve">nterpretacji podlegał opłacie </w:t>
      </w:r>
      <w:r w:rsidRPr="0091337C">
        <w:rPr>
          <w:rFonts w:eastAsia="Times New Roman"/>
        </w:rPr>
        <w:t xml:space="preserve">75 zł od każdego przedstawionego </w:t>
      </w:r>
      <w:r w:rsidR="00C064AF">
        <w:rPr>
          <w:rFonts w:eastAsia="Times New Roman"/>
        </w:rPr>
        <w:t xml:space="preserve">w nim </w:t>
      </w:r>
      <w:r w:rsidRPr="0091337C">
        <w:rPr>
          <w:rFonts w:eastAsia="Times New Roman"/>
        </w:rPr>
        <w:t>stanu faktycznego lub zdarzenia przyszłego, obecnie jest to kwota 40 zł.</w:t>
      </w:r>
    </w:p>
    <w:p w:rsidR="00C44564" w:rsidRPr="0091337C" w:rsidRDefault="00BB4AC1" w:rsidP="00832737">
      <w:pPr>
        <w:spacing w:after="120"/>
        <w:ind w:left="426"/>
        <w:jc w:val="both"/>
        <w:rPr>
          <w:rFonts w:eastAsia="Times New Roman"/>
        </w:rPr>
      </w:pPr>
      <w:r>
        <w:rPr>
          <w:rFonts w:eastAsia="Times New Roman"/>
        </w:rPr>
        <w:t xml:space="preserve">Kolejna </w:t>
      </w:r>
      <w:r w:rsidR="00C44564" w:rsidRPr="0091337C">
        <w:rPr>
          <w:rFonts w:eastAsia="Times New Roman"/>
        </w:rPr>
        <w:t>zmiana polega</w:t>
      </w:r>
      <w:r w:rsidR="009E45C4">
        <w:rPr>
          <w:rFonts w:eastAsia="Times New Roman"/>
        </w:rPr>
        <w:t>ła</w:t>
      </w:r>
      <w:r w:rsidR="00C44564" w:rsidRPr="0091337C">
        <w:rPr>
          <w:rFonts w:eastAsia="Times New Roman"/>
        </w:rPr>
        <w:t xml:space="preserve"> na rozszerzeniu </w:t>
      </w:r>
      <w:r w:rsidR="00C44564">
        <w:rPr>
          <w:rFonts w:eastAsia="Times New Roman"/>
        </w:rPr>
        <w:t xml:space="preserve">kręgu </w:t>
      </w:r>
      <w:r w:rsidR="00C44564" w:rsidRPr="0091337C">
        <w:rPr>
          <w:rFonts w:eastAsia="Times New Roman"/>
        </w:rPr>
        <w:t>osób mogących wystąpić z wnioskiem</w:t>
      </w:r>
      <w:r w:rsidR="009E45C4">
        <w:rPr>
          <w:rFonts w:eastAsia="Times New Roman"/>
        </w:rPr>
        <w:t xml:space="preserve"> o </w:t>
      </w:r>
      <w:r>
        <w:rPr>
          <w:rFonts w:eastAsia="Times New Roman"/>
        </w:rPr>
        <w:t>interpretację</w:t>
      </w:r>
      <w:r w:rsidR="00C44564" w:rsidRPr="0091337C">
        <w:rPr>
          <w:rFonts w:eastAsia="Times New Roman"/>
        </w:rPr>
        <w:t xml:space="preserve">. </w:t>
      </w:r>
      <w:r w:rsidR="00C44564">
        <w:rPr>
          <w:rFonts w:eastAsia="Times New Roman"/>
        </w:rPr>
        <w:t>Pierwotnie</w:t>
      </w:r>
      <w:r w:rsidR="00C44564" w:rsidRPr="0091337C">
        <w:rPr>
          <w:rFonts w:eastAsia="Times New Roman"/>
        </w:rPr>
        <w:t xml:space="preserve"> mógł </w:t>
      </w:r>
      <w:r>
        <w:rPr>
          <w:rFonts w:eastAsia="Times New Roman"/>
        </w:rPr>
        <w:t xml:space="preserve">go </w:t>
      </w:r>
      <w:r w:rsidR="00C44564" w:rsidRPr="0091337C">
        <w:rPr>
          <w:rFonts w:eastAsia="Times New Roman"/>
        </w:rPr>
        <w:t>złożyć każdy zainteresowany, czyli osoba</w:t>
      </w:r>
      <w:r w:rsidR="00CE77C4">
        <w:rPr>
          <w:rFonts w:eastAsia="Times New Roman"/>
        </w:rPr>
        <w:t xml:space="preserve">, która z </w:t>
      </w:r>
      <w:r w:rsidR="00C44564" w:rsidRPr="0091337C">
        <w:rPr>
          <w:rFonts w:eastAsia="Times New Roman"/>
        </w:rPr>
        <w:t>otrzymania interpretacji wywodzi</w:t>
      </w:r>
      <w:r w:rsidR="00C44564">
        <w:rPr>
          <w:rFonts w:eastAsia="Times New Roman"/>
        </w:rPr>
        <w:t>ła</w:t>
      </w:r>
      <w:r w:rsidR="00C44564" w:rsidRPr="0091337C">
        <w:rPr>
          <w:rFonts w:eastAsia="Times New Roman"/>
        </w:rPr>
        <w:t xml:space="preserve"> określone skutki w zakresie swoich rozliczeń podatkowych. Od 1 stycznia 2016 r</w:t>
      </w:r>
      <w:r w:rsidR="00057574">
        <w:rPr>
          <w:rFonts w:eastAsia="Times New Roman"/>
        </w:rPr>
        <w:t>.</w:t>
      </w:r>
      <w:r w:rsidR="00C44564" w:rsidRPr="0091337C">
        <w:rPr>
          <w:rFonts w:eastAsia="Times New Roman"/>
        </w:rPr>
        <w:t xml:space="preserve"> wprowadzono możliwość złożenia wspólnego wniosku o interpretację w sprawach, </w:t>
      </w:r>
      <w:r w:rsidR="00CE77C4">
        <w:rPr>
          <w:rFonts w:eastAsia="Times New Roman"/>
        </w:rPr>
        <w:br/>
      </w:r>
      <w:r w:rsidR="00C44564" w:rsidRPr="0091337C">
        <w:rPr>
          <w:rFonts w:eastAsia="Times New Roman"/>
        </w:rPr>
        <w:t>w których podatnicy uczestniczą w tym samym zaistniałym stanie faktycznym lub zdarzeniu przyszłym.</w:t>
      </w:r>
      <w:r w:rsidR="00C064AF">
        <w:rPr>
          <w:rFonts w:eastAsia="Times New Roman"/>
        </w:rPr>
        <w:t xml:space="preserve"> Z wnioskiem może również wystąpić zamawiający w rozumieniu ustawy Prawo zamówień publicznych.</w:t>
      </w:r>
    </w:p>
    <w:p w:rsidR="00C44564" w:rsidRPr="0091337C" w:rsidRDefault="00C44564" w:rsidP="00832737">
      <w:pPr>
        <w:spacing w:after="120"/>
        <w:ind w:left="426"/>
        <w:jc w:val="both"/>
        <w:rPr>
          <w:rFonts w:eastAsia="Times New Roman"/>
        </w:rPr>
      </w:pPr>
      <w:r w:rsidRPr="0091337C">
        <w:rPr>
          <w:rFonts w:eastAsia="Times New Roman"/>
        </w:rPr>
        <w:t>Biura K</w:t>
      </w:r>
      <w:r>
        <w:rPr>
          <w:rFonts w:eastAsia="Times New Roman"/>
        </w:rPr>
        <w:t xml:space="preserve">rajowej </w:t>
      </w:r>
      <w:r w:rsidRPr="0091337C">
        <w:rPr>
          <w:rFonts w:eastAsia="Times New Roman"/>
        </w:rPr>
        <w:t>I</w:t>
      </w:r>
      <w:r>
        <w:rPr>
          <w:rFonts w:eastAsia="Times New Roman"/>
        </w:rPr>
        <w:t xml:space="preserve">nformacji </w:t>
      </w:r>
      <w:r w:rsidRPr="0091337C">
        <w:rPr>
          <w:rFonts w:eastAsia="Times New Roman"/>
        </w:rPr>
        <w:t>P</w:t>
      </w:r>
      <w:r>
        <w:rPr>
          <w:rFonts w:eastAsia="Times New Roman"/>
        </w:rPr>
        <w:t>odatkowej</w:t>
      </w:r>
      <w:r w:rsidRPr="0091337C">
        <w:rPr>
          <w:rFonts w:eastAsia="Times New Roman"/>
        </w:rPr>
        <w:t xml:space="preserve"> otrzymały od 1 stycznia 2016 r. również dodatkowe kompetencje. Od tej daty nie wydaje się interpretacji indywidualnej w</w:t>
      </w:r>
      <w:r w:rsidR="00CE77C4">
        <w:rPr>
          <w:rFonts w:eastAsia="Times New Roman"/>
        </w:rPr>
        <w:t xml:space="preserve"> </w:t>
      </w:r>
      <w:r w:rsidRPr="0091337C">
        <w:rPr>
          <w:rFonts w:eastAsia="Times New Roman"/>
        </w:rPr>
        <w:t xml:space="preserve">temacie, który jest już rozstrzygnięty w interpretacji ogólnej. </w:t>
      </w:r>
      <w:r>
        <w:rPr>
          <w:rFonts w:eastAsia="Times New Roman"/>
        </w:rPr>
        <w:t>W</w:t>
      </w:r>
      <w:r w:rsidRPr="0091337C">
        <w:rPr>
          <w:rFonts w:eastAsia="Times New Roman"/>
        </w:rPr>
        <w:t xml:space="preserve">niosek </w:t>
      </w:r>
      <w:r>
        <w:rPr>
          <w:rFonts w:eastAsia="Times New Roman"/>
        </w:rPr>
        <w:t xml:space="preserve">ten </w:t>
      </w:r>
      <w:r w:rsidRPr="0091337C">
        <w:rPr>
          <w:rFonts w:eastAsia="Times New Roman"/>
        </w:rPr>
        <w:t>załatwiany jest po</w:t>
      </w:r>
      <w:r w:rsidR="001C374C">
        <w:rPr>
          <w:rFonts w:eastAsia="Times New Roman"/>
        </w:rPr>
        <w:t>stanowieniem o </w:t>
      </w:r>
      <w:r w:rsidRPr="0091337C">
        <w:rPr>
          <w:rFonts w:eastAsia="Times New Roman"/>
        </w:rPr>
        <w:t xml:space="preserve">bezprzedmiotowości. Ponadto </w:t>
      </w:r>
      <w:r>
        <w:rPr>
          <w:rFonts w:eastAsia="Times New Roman"/>
        </w:rPr>
        <w:t>b</w:t>
      </w:r>
      <w:r w:rsidRPr="0091337C">
        <w:rPr>
          <w:rFonts w:eastAsia="Times New Roman"/>
        </w:rPr>
        <w:t>iura Krajowej Informacji Podatkowej otrzymały upoważnienie do wygaszania postanowieniami interpretac</w:t>
      </w:r>
      <w:r w:rsidR="00CE77C4">
        <w:rPr>
          <w:rFonts w:eastAsia="Times New Roman"/>
        </w:rPr>
        <w:t xml:space="preserve">ji indywidualnych niezgodnych z </w:t>
      </w:r>
      <w:r w:rsidRPr="0091337C">
        <w:rPr>
          <w:rFonts w:eastAsia="Times New Roman"/>
        </w:rPr>
        <w:t>wydanymi interpretacjami ogólnymi</w:t>
      </w:r>
      <w:r>
        <w:rPr>
          <w:rFonts w:eastAsia="Times New Roman"/>
        </w:rPr>
        <w:t xml:space="preserve"> oraz zmiany</w:t>
      </w:r>
      <w:r w:rsidRPr="0091337C">
        <w:rPr>
          <w:rFonts w:eastAsia="Times New Roman"/>
        </w:rPr>
        <w:t xml:space="preserve"> interpretacj</w:t>
      </w:r>
      <w:r>
        <w:rPr>
          <w:rFonts w:eastAsia="Times New Roman"/>
        </w:rPr>
        <w:t>i</w:t>
      </w:r>
      <w:r w:rsidRPr="0091337C">
        <w:rPr>
          <w:rFonts w:eastAsia="Times New Roman"/>
        </w:rPr>
        <w:t xml:space="preserve"> indywidualn</w:t>
      </w:r>
      <w:r>
        <w:rPr>
          <w:rFonts w:eastAsia="Times New Roman"/>
        </w:rPr>
        <w:t>ej</w:t>
      </w:r>
      <w:r w:rsidR="00CE77C4">
        <w:rPr>
          <w:rFonts w:eastAsia="Times New Roman"/>
        </w:rPr>
        <w:t xml:space="preserve"> na etapie wezwania </w:t>
      </w:r>
      <w:r w:rsidR="00CE77C4">
        <w:rPr>
          <w:rFonts w:eastAsia="Times New Roman"/>
        </w:rPr>
        <w:br/>
        <w:t xml:space="preserve">do </w:t>
      </w:r>
      <w:r w:rsidRPr="0091337C">
        <w:rPr>
          <w:rFonts w:eastAsia="Times New Roman"/>
        </w:rPr>
        <w:t>usunięcia</w:t>
      </w:r>
      <w:r>
        <w:rPr>
          <w:rFonts w:eastAsia="Times New Roman"/>
        </w:rPr>
        <w:t xml:space="preserve"> naruszenia</w:t>
      </w:r>
      <w:r w:rsidRPr="0091337C">
        <w:rPr>
          <w:rFonts w:eastAsia="Times New Roman"/>
        </w:rPr>
        <w:t xml:space="preserve"> prawa.</w:t>
      </w:r>
    </w:p>
    <w:p w:rsidR="00C44564" w:rsidRDefault="00C44564" w:rsidP="00832737">
      <w:pPr>
        <w:spacing w:after="120"/>
        <w:ind w:left="425"/>
        <w:jc w:val="both"/>
        <w:rPr>
          <w:rFonts w:eastAsia="Times New Roman"/>
        </w:rPr>
      </w:pPr>
      <w:r>
        <w:rPr>
          <w:rFonts w:eastAsia="Times New Roman"/>
        </w:rPr>
        <w:t>I</w:t>
      </w:r>
      <w:r w:rsidRPr="0091337C">
        <w:rPr>
          <w:rFonts w:eastAsia="Times New Roman"/>
        </w:rPr>
        <w:t xml:space="preserve">nterpretacje indywidualne stanowią wsparcie dla osób zainteresowanych, wskazują im jak prawidłowo wypełniać swoje obowiązki podatkowe. Również </w:t>
      </w:r>
      <w:r w:rsidR="001C374C">
        <w:rPr>
          <w:rFonts w:eastAsia="Times New Roman"/>
        </w:rPr>
        <w:t>inni podatnicy mogą sprawdzić w </w:t>
      </w:r>
      <w:r w:rsidR="00057574">
        <w:rPr>
          <w:rFonts w:eastAsia="Times New Roman"/>
        </w:rPr>
        <w:t xml:space="preserve">bazie </w:t>
      </w:r>
      <w:r w:rsidRPr="0091337C">
        <w:rPr>
          <w:rFonts w:eastAsia="Times New Roman"/>
        </w:rPr>
        <w:t xml:space="preserve">SIP jakie jest stanowisko Ministra Finansów i zgodnie z nim postąpić. System Informacji Podatkowej </w:t>
      </w:r>
      <w:r w:rsidR="00057574">
        <w:rPr>
          <w:rFonts w:eastAsia="Times New Roman"/>
        </w:rPr>
        <w:t>−</w:t>
      </w:r>
      <w:r w:rsidR="00BB4AC1">
        <w:rPr>
          <w:rFonts w:eastAsia="Times New Roman"/>
        </w:rPr>
        <w:t xml:space="preserve"> </w:t>
      </w:r>
      <w:r w:rsidRPr="0091337C">
        <w:rPr>
          <w:rFonts w:eastAsia="Times New Roman"/>
        </w:rPr>
        <w:t>gdzie są publikowane interpretacje indywidualne</w:t>
      </w:r>
      <w:r w:rsidR="00BB4AC1">
        <w:rPr>
          <w:rFonts w:eastAsia="Times New Roman"/>
        </w:rPr>
        <w:t xml:space="preserve"> </w:t>
      </w:r>
      <w:r w:rsidR="00057574">
        <w:rPr>
          <w:rFonts w:eastAsia="Times New Roman"/>
        </w:rPr>
        <w:t>−</w:t>
      </w:r>
      <w:r w:rsidRPr="0091337C">
        <w:rPr>
          <w:rFonts w:eastAsia="Times New Roman"/>
        </w:rPr>
        <w:t xml:space="preserve"> stanowi bogate źródło wiedzy podatkowej i wskazuje prawidłowy</w:t>
      </w:r>
      <w:r w:rsidR="00176AED">
        <w:rPr>
          <w:rFonts w:eastAsia="Times New Roman"/>
        </w:rPr>
        <w:t xml:space="preserve"> kierunek postępowania zgodny z </w:t>
      </w:r>
      <w:r w:rsidRPr="0091337C">
        <w:rPr>
          <w:rFonts w:eastAsia="Times New Roman"/>
        </w:rPr>
        <w:t>przepisami</w:t>
      </w:r>
      <w:r w:rsidR="00BB4AC1">
        <w:rPr>
          <w:rFonts w:eastAsia="Times New Roman"/>
        </w:rPr>
        <w:t>.</w:t>
      </w:r>
      <w:r w:rsidRPr="0091337C">
        <w:rPr>
          <w:rFonts w:eastAsia="Times New Roman"/>
        </w:rPr>
        <w:t xml:space="preserve"> </w:t>
      </w:r>
      <w:r w:rsidR="005236D9">
        <w:rPr>
          <w:rFonts w:eastAsia="Times New Roman"/>
        </w:rPr>
        <w:t xml:space="preserve">Dodać również należy, że w związku z toczącymi się postępowaniami interpretacyjnymi </w:t>
      </w:r>
      <w:r w:rsidR="003E4164">
        <w:rPr>
          <w:rFonts w:eastAsia="Times New Roman"/>
        </w:rPr>
        <w:t>zostały podjęte 24 </w:t>
      </w:r>
      <w:r w:rsidRPr="0091337C">
        <w:rPr>
          <w:rFonts w:eastAsia="Times New Roman"/>
        </w:rPr>
        <w:t xml:space="preserve">uchwały w składzie </w:t>
      </w:r>
      <w:r w:rsidR="00176AED">
        <w:rPr>
          <w:rFonts w:eastAsia="Times New Roman"/>
        </w:rPr>
        <w:t>7</w:t>
      </w:r>
      <w:r w:rsidRPr="0091337C">
        <w:rPr>
          <w:rFonts w:eastAsia="Times New Roman"/>
        </w:rPr>
        <w:t xml:space="preserve"> sędziów oraz skierowan</w:t>
      </w:r>
      <w:r w:rsidR="001C374C">
        <w:rPr>
          <w:rFonts w:eastAsia="Times New Roman"/>
        </w:rPr>
        <w:t>o</w:t>
      </w:r>
      <w:r w:rsidR="00057574">
        <w:rPr>
          <w:rFonts w:eastAsia="Times New Roman"/>
        </w:rPr>
        <w:t xml:space="preserve"> 17 zapytań prejudycjalnych do </w:t>
      </w:r>
      <w:r w:rsidRPr="0091337C">
        <w:rPr>
          <w:rFonts w:eastAsia="Times New Roman"/>
        </w:rPr>
        <w:t>Trybunału Sprawiedliwości Unii Europejskiej.</w:t>
      </w:r>
      <w:r w:rsidR="005236D9">
        <w:rPr>
          <w:rFonts w:eastAsia="Times New Roman"/>
        </w:rPr>
        <w:t xml:space="preserve"> Oznacza to, że interpretacj</w:t>
      </w:r>
      <w:r w:rsidR="00057574">
        <w:rPr>
          <w:rFonts w:eastAsia="Times New Roman"/>
        </w:rPr>
        <w:t xml:space="preserve">e w sposób istotny wpływają na </w:t>
      </w:r>
      <w:r w:rsidR="005236D9">
        <w:rPr>
          <w:rFonts w:eastAsia="Times New Roman"/>
        </w:rPr>
        <w:t>orzecznictwo sądów administracyjnych.</w:t>
      </w:r>
    </w:p>
    <w:p w:rsidR="000E4A07" w:rsidRPr="00296633" w:rsidRDefault="000E4A07" w:rsidP="0036761F">
      <w:pPr>
        <w:spacing w:after="120"/>
        <w:ind w:left="425"/>
        <w:jc w:val="both"/>
        <w:rPr>
          <w:rFonts w:eastAsia="Times New Roman"/>
          <w:sz w:val="20"/>
          <w:szCs w:val="20"/>
        </w:rPr>
      </w:pPr>
    </w:p>
    <w:p w:rsidR="00C44564" w:rsidRPr="00296633" w:rsidRDefault="00C44564" w:rsidP="0036761F">
      <w:pPr>
        <w:pStyle w:val="Akapitzlist"/>
        <w:numPr>
          <w:ilvl w:val="6"/>
          <w:numId w:val="12"/>
        </w:numPr>
        <w:autoSpaceDE w:val="0"/>
        <w:autoSpaceDN w:val="0"/>
        <w:adjustRightInd w:val="0"/>
        <w:spacing w:after="120"/>
        <w:ind w:hanging="284"/>
        <w:contextualSpacing w:val="0"/>
        <w:jc w:val="both"/>
        <w:outlineLvl w:val="0"/>
        <w:rPr>
          <w:rFonts w:asciiTheme="minorHAnsi" w:hAnsiTheme="minorHAnsi"/>
        </w:rPr>
      </w:pPr>
      <w:bookmarkStart w:id="32" w:name="_Toc454976074"/>
      <w:r w:rsidRPr="00296633">
        <w:rPr>
          <w:rFonts w:asciiTheme="minorHAnsi" w:hAnsiTheme="minorHAnsi"/>
          <w:b/>
          <w:smallCaps/>
          <w:color w:val="365F91" w:themeColor="accent1" w:themeShade="BF"/>
        </w:rPr>
        <w:t>POSTANOWIENIA – INTERPETACJE OGÓLNE.</w:t>
      </w:r>
      <w:bookmarkEnd w:id="32"/>
    </w:p>
    <w:p w:rsidR="009B2D5E" w:rsidRPr="00296633" w:rsidRDefault="009B2D5E" w:rsidP="0036761F">
      <w:pPr>
        <w:autoSpaceDE w:val="0"/>
        <w:autoSpaceDN w:val="0"/>
        <w:adjustRightInd w:val="0"/>
        <w:spacing w:after="120"/>
        <w:ind w:left="425"/>
        <w:jc w:val="both"/>
        <w:outlineLvl w:val="0"/>
        <w:rPr>
          <w:rFonts w:asciiTheme="minorHAnsi" w:hAnsiTheme="minorHAnsi"/>
          <w:sz w:val="20"/>
          <w:szCs w:val="20"/>
        </w:rPr>
      </w:pPr>
    </w:p>
    <w:p w:rsidR="00C44564" w:rsidRDefault="00C44564" w:rsidP="001C5949">
      <w:pPr>
        <w:spacing w:after="120"/>
        <w:ind w:left="425"/>
        <w:jc w:val="both"/>
      </w:pPr>
      <w:r>
        <w:t>Istotną zmianą dotyczącą funkcjonowania biur Krajowej Informacji Podatkowej było wprowadzenie 1</w:t>
      </w:r>
      <w:r w:rsidR="00057574">
        <w:t xml:space="preserve"> stycznia 2012 r. – w oparciu o </w:t>
      </w:r>
      <w:r>
        <w:t xml:space="preserve">znowelizowany art. 14a Ordynacji podatkowej – </w:t>
      </w:r>
      <w:r w:rsidR="00057574">
        <w:t xml:space="preserve">możliwości składania wniosków o </w:t>
      </w:r>
      <w:r>
        <w:t>wydanie interpretacji ogólnej. Od tego dnia biurom Krajowej Informacji Podatkowej powierzono kolejne zadania – wstępną analizę wniosków o wydanie interpretacji ogólnych</w:t>
      </w:r>
      <w:r w:rsidR="00690752">
        <w:t xml:space="preserve"> (ORD-OG)</w:t>
      </w:r>
      <w:r>
        <w:t xml:space="preserve"> oraz w przypadku braku podstaw do</w:t>
      </w:r>
      <w:r w:rsidR="00176AED">
        <w:t xml:space="preserve"> </w:t>
      </w:r>
      <w:r>
        <w:t xml:space="preserve">wydania interpretacji ogólnej – wydawanie postanowień o pozostawieniu takich wniosków bez rozpatrzenia. </w:t>
      </w:r>
      <w:r w:rsidR="00C064AF">
        <w:t>R</w:t>
      </w:r>
      <w:r>
        <w:t>ealizacja tych zad</w:t>
      </w:r>
      <w:r w:rsidR="00C064AF">
        <w:t>ań odbywa się</w:t>
      </w:r>
      <w:r>
        <w:t xml:space="preserve"> </w:t>
      </w:r>
      <w:r w:rsidR="00CE77C4">
        <w:t xml:space="preserve">według właściwości rzeczowej. W </w:t>
      </w:r>
      <w:r>
        <w:t xml:space="preserve">konsekwencji wnioski </w:t>
      </w:r>
      <w:r w:rsidR="00CE77C4">
        <w:br/>
      </w:r>
      <w:r>
        <w:t>o wydanie interpretacji ogólnych są wstępnie rozpatrywane przez:</w:t>
      </w:r>
    </w:p>
    <w:p w:rsidR="00C44564" w:rsidRDefault="00C44564" w:rsidP="009F27D7">
      <w:pPr>
        <w:numPr>
          <w:ilvl w:val="0"/>
          <w:numId w:val="35"/>
        </w:numPr>
        <w:tabs>
          <w:tab w:val="clear" w:pos="720"/>
        </w:tabs>
        <w:spacing w:after="0"/>
        <w:ind w:left="1701" w:hanging="567"/>
        <w:jc w:val="both"/>
      </w:pPr>
      <w:r w:rsidRPr="00C44564">
        <w:rPr>
          <w:b/>
        </w:rPr>
        <w:lastRenderedPageBreak/>
        <w:t>Dyrektora Izby Skarbowej w Bydgoszczy</w:t>
      </w:r>
      <w:r>
        <w:t xml:space="preserve"> – w zakresie podatku dochodowego od osób fizycznych,</w:t>
      </w:r>
    </w:p>
    <w:p w:rsidR="00C44564" w:rsidRDefault="00C44564" w:rsidP="009F27D7">
      <w:pPr>
        <w:numPr>
          <w:ilvl w:val="0"/>
          <w:numId w:val="35"/>
        </w:numPr>
        <w:tabs>
          <w:tab w:val="clear" w:pos="720"/>
        </w:tabs>
        <w:spacing w:after="0"/>
        <w:ind w:left="1701" w:hanging="567"/>
        <w:jc w:val="both"/>
      </w:pPr>
      <w:r w:rsidRPr="00C44564">
        <w:rPr>
          <w:b/>
        </w:rPr>
        <w:t>Dyrektora Izby Skarbowej w Katowicach</w:t>
      </w:r>
      <w:r>
        <w:t xml:space="preserve"> – w zakresie podatku dochodowego od osób prawnych oraz podatku akcyzowego,</w:t>
      </w:r>
    </w:p>
    <w:p w:rsidR="00C44564" w:rsidRDefault="00C44564" w:rsidP="009F27D7">
      <w:pPr>
        <w:numPr>
          <w:ilvl w:val="0"/>
          <w:numId w:val="35"/>
        </w:numPr>
        <w:tabs>
          <w:tab w:val="clear" w:pos="720"/>
        </w:tabs>
        <w:spacing w:after="0"/>
        <w:ind w:left="1701" w:hanging="567"/>
        <w:jc w:val="both"/>
      </w:pPr>
      <w:r w:rsidRPr="00C44564">
        <w:rPr>
          <w:b/>
        </w:rPr>
        <w:t>Dyrektora Izby Skarbowej w Poznaniu</w:t>
      </w:r>
      <w:r>
        <w:t xml:space="preserve"> – w zakresie podatku od towarów i usług,</w:t>
      </w:r>
    </w:p>
    <w:p w:rsidR="00C44564" w:rsidRDefault="00C44564" w:rsidP="009F27D7">
      <w:pPr>
        <w:numPr>
          <w:ilvl w:val="0"/>
          <w:numId w:val="35"/>
        </w:numPr>
        <w:tabs>
          <w:tab w:val="clear" w:pos="720"/>
        </w:tabs>
        <w:spacing w:after="0"/>
        <w:ind w:left="1701" w:hanging="567"/>
        <w:jc w:val="both"/>
      </w:pPr>
      <w:r w:rsidRPr="00C44564">
        <w:rPr>
          <w:b/>
        </w:rPr>
        <w:t>Dyrektora Izby Skarbowej w Warszawie</w:t>
      </w:r>
      <w:r>
        <w:t xml:space="preserve"> – w zakresie podatku od czynności cywilnoprawnych, podatku od spadków i d</w:t>
      </w:r>
      <w:r w:rsidR="00057574">
        <w:t>arowizn oraz przepisów ustawy –</w:t>
      </w:r>
      <w:r>
        <w:t xml:space="preserve"> Ordynacja podatkowa,</w:t>
      </w:r>
    </w:p>
    <w:p w:rsidR="00C44564" w:rsidRDefault="00C44564" w:rsidP="009F27D7">
      <w:pPr>
        <w:numPr>
          <w:ilvl w:val="0"/>
          <w:numId w:val="35"/>
        </w:numPr>
        <w:tabs>
          <w:tab w:val="clear" w:pos="720"/>
        </w:tabs>
        <w:spacing w:after="240"/>
        <w:ind w:left="1701" w:hanging="567"/>
        <w:jc w:val="both"/>
      </w:pPr>
      <w:r w:rsidRPr="00C44564">
        <w:rPr>
          <w:b/>
        </w:rPr>
        <w:t>Dyrektora Izby Skarbowej w Łodzi</w:t>
      </w:r>
      <w:r>
        <w:t xml:space="preserve"> – w pozostałym zakresie.</w:t>
      </w:r>
    </w:p>
    <w:p w:rsidR="00C44564" w:rsidRDefault="00C44564" w:rsidP="00832737">
      <w:pPr>
        <w:spacing w:after="120"/>
        <w:ind w:left="425"/>
        <w:jc w:val="both"/>
      </w:pPr>
      <w:r>
        <w:t xml:space="preserve">Zatem od 1 stycznia 2012 r. rola </w:t>
      </w:r>
      <w:r w:rsidR="00690752">
        <w:t>b</w:t>
      </w:r>
      <w:r>
        <w:t xml:space="preserve">iur Krajowej Informacji Podatkowej stała się jeszcze bardziej istotna w procesie zachowania jednolitości stosowania przepisów prawa podatkowego </w:t>
      </w:r>
      <w:r w:rsidR="00690752">
        <w:t>i </w:t>
      </w:r>
      <w:r w:rsidR="00057574">
        <w:t>zgodności</w:t>
      </w:r>
      <w:r w:rsidR="00690752">
        <w:t xml:space="preserve"> wydawanych rozstrzygnięć </w:t>
      </w:r>
      <w:r>
        <w:t>z orzecznictwem sądów, Trybunału Konstytucyjnego i Trybunału Sprawiedliwości Unii Europejskiej. To tutaj bowiem dokonywana jest wstępna selekcja wniosków</w:t>
      </w:r>
      <w:r w:rsidR="00690752">
        <w:t xml:space="preserve">, inicjujących </w:t>
      </w:r>
      <w:r>
        <w:t>wyda</w:t>
      </w:r>
      <w:r w:rsidR="00690752">
        <w:t>wa</w:t>
      </w:r>
      <w:r>
        <w:t>nie interpretacji ogólnych – do których powinny się stosować zarówno organy administra</w:t>
      </w:r>
      <w:r w:rsidR="00057574">
        <w:t>cji publicznej</w:t>
      </w:r>
      <w:r w:rsidR="00527EB5">
        <w:t>,</w:t>
      </w:r>
      <w:r w:rsidR="00057574">
        <w:t xml:space="preserve"> jak i podatnicy.</w:t>
      </w:r>
    </w:p>
    <w:p w:rsidR="00C44564" w:rsidRDefault="00C44564" w:rsidP="00832737">
      <w:pPr>
        <w:spacing w:after="120"/>
        <w:ind w:left="425"/>
        <w:jc w:val="both"/>
      </w:pPr>
      <w:r>
        <w:t>Należy zauważyć, że Minister Finansów na wniosek podmiotu występującego wydaje interpretację ogólną tylko wtedy, jeżeli spełnione zostaną określone w</w:t>
      </w:r>
      <w:r w:rsidR="00527EB5">
        <w:t xml:space="preserve"> </w:t>
      </w:r>
      <w:r>
        <w:t>przepisach warunki. Przede wszystkim wnioskodawca musi dowieść, że zagadnienie objęte wnioskiem jest różnie interpretowane przez organy podatkowe w taki</w:t>
      </w:r>
      <w:r w:rsidR="00527EB5">
        <w:t xml:space="preserve">ch samych stanach faktycznych i </w:t>
      </w:r>
      <w:r>
        <w:t>stanach</w:t>
      </w:r>
      <w:r w:rsidR="00176AED">
        <w:t xml:space="preserve"> prawnych. Zadaniem właściwego </w:t>
      </w:r>
      <w:r>
        <w:t>biura Krajowej Informacji Podatkowej jest dokonywanie weryfikacji wniosków ORD-OG pod kątem spełnienia warunków do wydania interpretacji ogólnej, a to wymaga szczegółowej analizy zgodn</w:t>
      </w:r>
      <w:r w:rsidR="001C374C">
        <w:t>ości wydawanych rozstrzygnięć z </w:t>
      </w:r>
      <w:r w:rsidR="00527EB5">
        <w:t>obowiązującymi przepisami.</w:t>
      </w:r>
    </w:p>
    <w:p w:rsidR="00C44564" w:rsidRDefault="00C44564" w:rsidP="00832737">
      <w:pPr>
        <w:spacing w:after="120"/>
        <w:ind w:left="425"/>
        <w:jc w:val="both"/>
      </w:pPr>
      <w:r>
        <w:t>Podsumowując, w rezultacie dotychczasowy</w:t>
      </w:r>
      <w:r w:rsidR="00176AED">
        <w:t xml:space="preserve">ch przeobrażeń spektrum zadań i </w:t>
      </w:r>
      <w:r>
        <w:t>kompetencji biur Krajowej Informacji Podatkowej ciągle wzrasta, a to</w:t>
      </w:r>
      <w:r w:rsidR="00176AED">
        <w:t xml:space="preserve"> wiąże się z </w:t>
      </w:r>
      <w:r>
        <w:t>potrzebą nieustannego nadzoru nad poprawnością i jednolit</w:t>
      </w:r>
      <w:r w:rsidR="00057574">
        <w:t>ością wydawanych rozstrzygnięć.</w:t>
      </w:r>
    </w:p>
    <w:p w:rsidR="00C44564" w:rsidRDefault="00C44564" w:rsidP="00832737">
      <w:pPr>
        <w:spacing w:after="120"/>
        <w:ind w:left="425"/>
        <w:jc w:val="both"/>
      </w:pPr>
      <w:r>
        <w:t>Przy udzielaniu informacji, wydawaniu interpretacji indywidualnych oraz analizie wniosków o wydanie interpretacji ogólnych biura Krajowej Informacji Podatkowej dążą do zapewnienia jednolitego stosowania przepisów prawa podatkowego, uwzględniając przy tym m.in. orzecznictwo sądów oraz Trybunału Sprawiedliwości Unii Europejskiej. Przy czym przy wydawaniu interpretacji zobowiązane są zawsze do wyrażania stanowiska prezentowanego przez Ministerstwo Finansów. Natomiast w sprawach, w których nie zostało jeszcze wypracowane stanowisko lub w których istnieją wątpliwości interpretacyjne konieczne jest konsultowanie proponowanego rozstrzygnięcia – zgodnie z ustalonymi procedurami – z Ministerstwem Finansów. Opisane wyżej działania biur KIP umożliwiają podatnikom prawidłowe wypełnianie ich obowiązków, zapewniają ich równe traktowanie, a w rezultacie przyczyniają się do wzrostu zaufania społeczeństwa do organów skarbowyc</w:t>
      </w:r>
      <w:r w:rsidR="00527EB5">
        <w:t>h.</w:t>
      </w:r>
    </w:p>
    <w:p w:rsidR="00690752" w:rsidRDefault="00690752" w:rsidP="00D4055A">
      <w:pPr>
        <w:spacing w:after="120"/>
        <w:ind w:left="425"/>
        <w:jc w:val="both"/>
      </w:pPr>
    </w:p>
    <w:p w:rsidR="008F4553" w:rsidRPr="00DF729E" w:rsidRDefault="008F4553" w:rsidP="00832737">
      <w:pPr>
        <w:pStyle w:val="Akapitzlist"/>
        <w:numPr>
          <w:ilvl w:val="0"/>
          <w:numId w:val="12"/>
        </w:numPr>
        <w:autoSpaceDE w:val="0"/>
        <w:autoSpaceDN w:val="0"/>
        <w:adjustRightInd w:val="0"/>
        <w:spacing w:after="120" w:line="276" w:lineRule="auto"/>
        <w:ind w:left="426" w:hanging="142"/>
        <w:jc w:val="both"/>
        <w:outlineLvl w:val="0"/>
        <w:rPr>
          <w:rFonts w:asciiTheme="minorHAnsi" w:hAnsiTheme="minorHAnsi"/>
          <w:sz w:val="24"/>
          <w:szCs w:val="24"/>
        </w:rPr>
      </w:pPr>
      <w:bookmarkStart w:id="33" w:name="_Toc454976075"/>
      <w:r w:rsidRPr="00DF729E">
        <w:rPr>
          <w:rFonts w:asciiTheme="minorHAnsi" w:hAnsiTheme="minorHAnsi"/>
          <w:b/>
          <w:smallCaps/>
          <w:color w:val="365F91" w:themeColor="accent1" w:themeShade="BF"/>
          <w:sz w:val="24"/>
          <w:szCs w:val="24"/>
        </w:rPr>
        <w:t>ROZMIAR DZIAŁAŃ WYKONYWANYCH PRZEZ KIP.</w:t>
      </w:r>
      <w:bookmarkEnd w:id="33"/>
    </w:p>
    <w:p w:rsidR="009B2D5E" w:rsidRPr="00296633" w:rsidRDefault="009B2D5E" w:rsidP="000525E4">
      <w:pPr>
        <w:autoSpaceDE w:val="0"/>
        <w:autoSpaceDN w:val="0"/>
        <w:adjustRightInd w:val="0"/>
        <w:spacing w:after="120"/>
        <w:ind w:left="425"/>
        <w:jc w:val="both"/>
        <w:outlineLvl w:val="0"/>
        <w:rPr>
          <w:rFonts w:asciiTheme="minorHAnsi" w:hAnsiTheme="minorHAnsi"/>
          <w:sz w:val="20"/>
          <w:szCs w:val="20"/>
        </w:rPr>
      </w:pPr>
    </w:p>
    <w:p w:rsidR="008F4553" w:rsidRPr="00A95AD5" w:rsidRDefault="008F4553" w:rsidP="0036761F">
      <w:pPr>
        <w:pStyle w:val="Akapitzlist"/>
        <w:numPr>
          <w:ilvl w:val="6"/>
          <w:numId w:val="12"/>
        </w:numPr>
        <w:autoSpaceDE w:val="0"/>
        <w:autoSpaceDN w:val="0"/>
        <w:adjustRightInd w:val="0"/>
        <w:spacing w:after="120"/>
        <w:ind w:left="1134" w:hanging="283"/>
        <w:jc w:val="both"/>
        <w:outlineLvl w:val="0"/>
        <w:rPr>
          <w:rFonts w:asciiTheme="minorHAnsi" w:hAnsiTheme="minorHAnsi"/>
        </w:rPr>
      </w:pPr>
      <w:bookmarkStart w:id="34" w:name="_Toc454976076"/>
      <w:r w:rsidRPr="00A95AD5">
        <w:rPr>
          <w:rFonts w:asciiTheme="minorHAnsi" w:hAnsiTheme="minorHAnsi"/>
          <w:b/>
          <w:smallCaps/>
          <w:color w:val="365F91" w:themeColor="accent1" w:themeShade="BF"/>
        </w:rPr>
        <w:t>INFOLINIA.</w:t>
      </w:r>
      <w:bookmarkEnd w:id="34"/>
    </w:p>
    <w:p w:rsidR="008F4553" w:rsidRPr="00296633" w:rsidRDefault="008F4553" w:rsidP="0036761F">
      <w:pPr>
        <w:pStyle w:val="Akapitzlist"/>
        <w:spacing w:after="120"/>
        <w:ind w:left="426"/>
        <w:jc w:val="both"/>
        <w:rPr>
          <w:sz w:val="20"/>
          <w:szCs w:val="20"/>
        </w:rPr>
      </w:pPr>
    </w:p>
    <w:p w:rsidR="00C44564" w:rsidRDefault="00C44564" w:rsidP="000525E4">
      <w:pPr>
        <w:overflowPunct w:val="0"/>
        <w:autoSpaceDE w:val="0"/>
        <w:spacing w:after="0"/>
        <w:ind w:left="425"/>
        <w:jc w:val="both"/>
      </w:pPr>
      <w:r w:rsidRPr="00754125">
        <w:t>Opracowany w 2005 r</w:t>
      </w:r>
      <w:r w:rsidR="007E78B7">
        <w:t>.</w:t>
      </w:r>
      <w:r w:rsidRPr="00754125">
        <w:t xml:space="preserve"> projekt utworzenia </w:t>
      </w:r>
      <w:r>
        <w:t>b</w:t>
      </w:r>
      <w:r w:rsidRPr="00754125">
        <w:t>iur Krajowej Info</w:t>
      </w:r>
      <w:r w:rsidR="001C374C">
        <w:t>rmacji Podatkowej zakładał, że </w:t>
      </w:r>
      <w:r w:rsidRPr="00754125">
        <w:t xml:space="preserve">rocznie infolinia będzie mogła udzielić odpowiedzi na </w:t>
      </w:r>
      <w:r w:rsidRPr="00754125">
        <w:rPr>
          <w:b/>
        </w:rPr>
        <w:t>1 292 544</w:t>
      </w:r>
      <w:r w:rsidRPr="00754125">
        <w:t xml:space="preserve"> pytania. Zakładana wielkość została osiągnięta już w 2009 r</w:t>
      </w:r>
      <w:r w:rsidR="007E78B7">
        <w:t>.,</w:t>
      </w:r>
      <w:r w:rsidRPr="00754125">
        <w:t xml:space="preserve"> a w kolejnych latach systematycznie w</w:t>
      </w:r>
      <w:r w:rsidR="00057574">
        <w:t xml:space="preserve">zrastała. Rekordowy </w:t>
      </w:r>
      <w:r w:rsidR="00057574">
        <w:lastRenderedPageBreak/>
        <w:t xml:space="preserve">okazał się </w:t>
      </w:r>
      <w:r w:rsidRPr="00754125">
        <w:t xml:space="preserve">rok 2015, w którym odnotowano aż 1 804 141 rozmów </w:t>
      </w:r>
      <w:r w:rsidR="009E45C4">
        <w:t>przeprowadzonych</w:t>
      </w:r>
      <w:r w:rsidRPr="00754125">
        <w:t xml:space="preserve"> przez Krajową Informację Podatkową. Faktyczne wielkości odebr</w:t>
      </w:r>
      <w:r w:rsidR="001C374C">
        <w:t>anych połączeń telefonicznych w </w:t>
      </w:r>
      <w:r w:rsidRPr="00754125">
        <w:t>latach 2007</w:t>
      </w:r>
      <w:r w:rsidR="00057574">
        <w:t>−</w:t>
      </w:r>
      <w:r w:rsidRPr="00754125">
        <w:t>2015 prezentuje wykres poniżej.</w:t>
      </w:r>
    </w:p>
    <w:p w:rsidR="000525E4" w:rsidRPr="00754125" w:rsidRDefault="000525E4" w:rsidP="009F27D7">
      <w:pPr>
        <w:overflowPunct w:val="0"/>
        <w:autoSpaceDE w:val="0"/>
        <w:spacing w:after="120"/>
        <w:ind w:left="425"/>
        <w:jc w:val="both"/>
      </w:pPr>
    </w:p>
    <w:p w:rsidR="00C44564" w:rsidRDefault="00C44564" w:rsidP="00FA74C0">
      <w:pPr>
        <w:spacing w:after="120" w:line="276" w:lineRule="auto"/>
        <w:ind w:left="142"/>
        <w:jc w:val="center"/>
        <w:rPr>
          <w:i/>
          <w:sz w:val="24"/>
          <w:szCs w:val="24"/>
        </w:rPr>
      </w:pPr>
      <w:r w:rsidRPr="00205A35">
        <w:rPr>
          <w:noProof/>
          <w:lang w:eastAsia="pl-PL"/>
        </w:rPr>
        <w:drawing>
          <wp:inline distT="0" distB="0" distL="0" distR="0">
            <wp:extent cx="6017895" cy="3276600"/>
            <wp:effectExtent l="0" t="0" r="1905" b="0"/>
            <wp:docPr id="1" name="Wykres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44564" w:rsidRPr="007E78B7" w:rsidRDefault="00C44564" w:rsidP="000525E4">
      <w:pPr>
        <w:pStyle w:val="Akapitzlist"/>
        <w:spacing w:after="0"/>
        <w:ind w:left="425"/>
        <w:contextualSpacing w:val="0"/>
        <w:jc w:val="both"/>
      </w:pPr>
    </w:p>
    <w:p w:rsidR="00752398" w:rsidRDefault="00C44564" w:rsidP="000525E4">
      <w:pPr>
        <w:pStyle w:val="Akapitzlist"/>
        <w:spacing w:after="0"/>
        <w:ind w:left="425"/>
        <w:contextualSpacing w:val="0"/>
        <w:jc w:val="both"/>
      </w:pPr>
      <w:r w:rsidRPr="00FA60E9">
        <w:t xml:space="preserve">Tematyka rozmów dotyczy </w:t>
      </w:r>
      <w:r>
        <w:t xml:space="preserve">głównie </w:t>
      </w:r>
      <w:r w:rsidRPr="00FA60E9">
        <w:t>podatku od towarów</w:t>
      </w:r>
      <w:r>
        <w:t xml:space="preserve"> i usług</w:t>
      </w:r>
      <w:r w:rsidRPr="00FA60E9">
        <w:t xml:space="preserve"> </w:t>
      </w:r>
      <w:r>
        <w:t>(ok</w:t>
      </w:r>
      <w:r w:rsidR="00176AED">
        <w:t>.</w:t>
      </w:r>
      <w:r>
        <w:t xml:space="preserve"> 40%) </w:t>
      </w:r>
      <w:r w:rsidRPr="00FA60E9">
        <w:t>oraz podatku dochodowego od osób fizycznych (ok</w:t>
      </w:r>
      <w:r w:rsidR="00176AED">
        <w:t>.</w:t>
      </w:r>
      <w:r w:rsidRPr="00FA60E9">
        <w:t xml:space="preserve"> 30%). Śr</w:t>
      </w:r>
      <w:r>
        <w:t xml:space="preserve">ednio 12% wszystkich udzielanych </w:t>
      </w:r>
      <w:r w:rsidRPr="00FA60E9">
        <w:t xml:space="preserve">informacji </w:t>
      </w:r>
      <w:r>
        <w:t xml:space="preserve">stanowią zagadnienia </w:t>
      </w:r>
      <w:r w:rsidRPr="00FA60E9">
        <w:t>związan</w:t>
      </w:r>
      <w:r>
        <w:t xml:space="preserve">e </w:t>
      </w:r>
      <w:r w:rsidRPr="00FA60E9">
        <w:t xml:space="preserve">z rozliczeniami rocznymi, 18% </w:t>
      </w:r>
      <w:r>
        <w:t>to</w:t>
      </w:r>
      <w:r w:rsidR="00690752">
        <w:t xml:space="preserve"> pozostała</w:t>
      </w:r>
      <w:r>
        <w:t xml:space="preserve"> tematyka związana</w:t>
      </w:r>
      <w:r w:rsidRPr="00FA60E9">
        <w:t xml:space="preserve"> </w:t>
      </w:r>
      <w:r w:rsidR="00690752">
        <w:t xml:space="preserve">m.in. </w:t>
      </w:r>
      <w:r w:rsidRPr="00FA60E9">
        <w:t xml:space="preserve">z podatkiem dochodowym od osób prawnych, podatkami majątkowymi, akcyzą oraz </w:t>
      </w:r>
      <w:r w:rsidR="004B083E">
        <w:br/>
      </w:r>
      <w:r w:rsidR="003E4164">
        <w:t>e</w:t>
      </w:r>
      <w:r w:rsidR="00057574">
        <w:t>-</w:t>
      </w:r>
      <w:r w:rsidRPr="00FA60E9">
        <w:t>deklaracjami.</w:t>
      </w:r>
      <w:r w:rsidR="00057574">
        <w:t xml:space="preserve"> </w:t>
      </w:r>
      <w:r w:rsidRPr="00FA60E9">
        <w:t>Wykres poniżej p</w:t>
      </w:r>
      <w:r w:rsidR="00690752">
        <w:t>rzedstawia jak kształtowała się</w:t>
      </w:r>
      <w:r w:rsidR="004B083E">
        <w:t xml:space="preserve"> </w:t>
      </w:r>
      <w:r w:rsidR="00057574">
        <w:t>tematyka rozmów telefonicznych</w:t>
      </w:r>
      <w:r w:rsidRPr="00FA60E9">
        <w:t xml:space="preserve"> w 2015 r.</w:t>
      </w:r>
    </w:p>
    <w:p w:rsidR="000525E4" w:rsidRDefault="000525E4" w:rsidP="009F27D7">
      <w:pPr>
        <w:pStyle w:val="Akapitzlist"/>
        <w:spacing w:after="120"/>
        <w:ind w:left="425"/>
        <w:contextualSpacing w:val="0"/>
        <w:jc w:val="both"/>
      </w:pPr>
    </w:p>
    <w:p w:rsidR="00F9630B" w:rsidRPr="00FA60E9" w:rsidRDefault="00F9630B" w:rsidP="001C5949">
      <w:pPr>
        <w:pStyle w:val="Akapitzlist"/>
        <w:spacing w:after="240"/>
        <w:ind w:left="426" w:hanging="142"/>
        <w:contextualSpacing w:val="0"/>
        <w:jc w:val="center"/>
      </w:pPr>
      <w:r w:rsidRPr="004B7040">
        <w:rPr>
          <w:noProof/>
          <w:lang w:eastAsia="pl-PL"/>
        </w:rPr>
        <w:drawing>
          <wp:inline distT="0" distB="0" distL="0" distR="0">
            <wp:extent cx="5674360" cy="3063875"/>
            <wp:effectExtent l="0" t="0" r="2540" b="3175"/>
            <wp:docPr id="3" name="Wykres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F4553" w:rsidRPr="00A95AD5" w:rsidRDefault="008F4553" w:rsidP="00832737">
      <w:pPr>
        <w:pStyle w:val="Akapitzlist"/>
        <w:numPr>
          <w:ilvl w:val="6"/>
          <w:numId w:val="12"/>
        </w:numPr>
        <w:autoSpaceDE w:val="0"/>
        <w:autoSpaceDN w:val="0"/>
        <w:adjustRightInd w:val="0"/>
        <w:spacing w:after="120" w:line="276" w:lineRule="auto"/>
        <w:ind w:hanging="284"/>
        <w:contextualSpacing w:val="0"/>
        <w:jc w:val="both"/>
        <w:outlineLvl w:val="0"/>
        <w:rPr>
          <w:rFonts w:asciiTheme="minorHAnsi" w:hAnsiTheme="minorHAnsi"/>
        </w:rPr>
      </w:pPr>
      <w:bookmarkStart w:id="35" w:name="_Toc454976077"/>
      <w:r w:rsidRPr="00A95AD5">
        <w:rPr>
          <w:rFonts w:asciiTheme="minorHAnsi" w:hAnsiTheme="minorHAnsi"/>
          <w:b/>
          <w:smallCaps/>
          <w:color w:val="365F91" w:themeColor="accent1" w:themeShade="BF"/>
        </w:rPr>
        <w:lastRenderedPageBreak/>
        <w:t>INTERP</w:t>
      </w:r>
      <w:r w:rsidR="00690752" w:rsidRPr="00A95AD5">
        <w:rPr>
          <w:rFonts w:asciiTheme="minorHAnsi" w:hAnsiTheme="minorHAnsi"/>
          <w:b/>
          <w:smallCaps/>
          <w:color w:val="365F91" w:themeColor="accent1" w:themeShade="BF"/>
        </w:rPr>
        <w:t>R</w:t>
      </w:r>
      <w:r w:rsidRPr="00A95AD5">
        <w:rPr>
          <w:rFonts w:asciiTheme="minorHAnsi" w:hAnsiTheme="minorHAnsi"/>
          <w:b/>
          <w:smallCaps/>
          <w:color w:val="365F91" w:themeColor="accent1" w:themeShade="BF"/>
        </w:rPr>
        <w:t>ETACJE PRZEPISÓW PRAWA PODA</w:t>
      </w:r>
      <w:r w:rsidR="00690752" w:rsidRPr="00A95AD5">
        <w:rPr>
          <w:rFonts w:asciiTheme="minorHAnsi" w:hAnsiTheme="minorHAnsi"/>
          <w:b/>
          <w:smallCaps/>
          <w:color w:val="365F91" w:themeColor="accent1" w:themeShade="BF"/>
        </w:rPr>
        <w:t>TKOWEGO</w:t>
      </w:r>
      <w:r w:rsidRPr="00A95AD5">
        <w:rPr>
          <w:rFonts w:asciiTheme="minorHAnsi" w:hAnsiTheme="minorHAnsi"/>
          <w:b/>
          <w:smallCaps/>
          <w:color w:val="365F91" w:themeColor="accent1" w:themeShade="BF"/>
        </w:rPr>
        <w:t>.</w:t>
      </w:r>
      <w:bookmarkEnd w:id="35"/>
    </w:p>
    <w:p w:rsidR="00C44564" w:rsidRPr="00C210A6" w:rsidRDefault="00C44564" w:rsidP="0036761F">
      <w:pPr>
        <w:pStyle w:val="Akapitzlist"/>
        <w:spacing w:after="120"/>
        <w:ind w:left="425"/>
        <w:contextualSpacing w:val="0"/>
        <w:jc w:val="both"/>
      </w:pPr>
    </w:p>
    <w:p w:rsidR="00C44564" w:rsidRDefault="00C44564" w:rsidP="009F27D7">
      <w:pPr>
        <w:autoSpaceDE w:val="0"/>
        <w:autoSpaceDN w:val="0"/>
        <w:adjustRightInd w:val="0"/>
        <w:spacing w:after="120"/>
        <w:ind w:left="425"/>
        <w:jc w:val="both"/>
        <w:rPr>
          <w:iCs/>
        </w:rPr>
      </w:pPr>
      <w:r>
        <w:rPr>
          <w:iCs/>
        </w:rPr>
        <w:t>Na przestrzeni lat 2007</w:t>
      </w:r>
      <w:r w:rsidR="00057574">
        <w:rPr>
          <w:iCs/>
        </w:rPr>
        <w:t>−</w:t>
      </w:r>
      <w:r>
        <w:rPr>
          <w:iCs/>
        </w:rPr>
        <w:t>2015 w biurach KIP wydano łącznie ponad 272 tysiące interpretacji przepisów prawa podatkowego. Wielkości te w poszcze</w:t>
      </w:r>
      <w:r w:rsidR="00690752">
        <w:rPr>
          <w:iCs/>
        </w:rPr>
        <w:t>gólnych latach prezentowały się </w:t>
      </w:r>
      <w:r>
        <w:rPr>
          <w:iCs/>
        </w:rPr>
        <w:t>następująco:</w:t>
      </w:r>
    </w:p>
    <w:p w:rsidR="00C44564" w:rsidRDefault="00C44564" w:rsidP="009F27D7">
      <w:pPr>
        <w:autoSpaceDE w:val="0"/>
        <w:autoSpaceDN w:val="0"/>
        <w:adjustRightInd w:val="0"/>
        <w:spacing w:after="120"/>
        <w:ind w:left="425"/>
        <w:jc w:val="both"/>
        <w:rPr>
          <w:iCs/>
        </w:rPr>
      </w:pPr>
    </w:p>
    <w:p w:rsidR="00C44564" w:rsidRDefault="00C44564" w:rsidP="00FA74C0">
      <w:pPr>
        <w:autoSpaceDE w:val="0"/>
        <w:autoSpaceDN w:val="0"/>
        <w:adjustRightInd w:val="0"/>
        <w:spacing w:after="120" w:line="276" w:lineRule="auto"/>
        <w:jc w:val="center"/>
        <w:rPr>
          <w:iCs/>
        </w:rPr>
      </w:pPr>
      <w:r>
        <w:rPr>
          <w:noProof/>
          <w:lang w:eastAsia="pl-PL"/>
        </w:rPr>
        <w:drawing>
          <wp:inline distT="0" distB="0" distL="0" distR="0">
            <wp:extent cx="5744845" cy="3130550"/>
            <wp:effectExtent l="0" t="0" r="8255" b="12700"/>
            <wp:docPr id="2" name="Wykres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508A4" w:rsidRPr="00832737" w:rsidRDefault="007508A4" w:rsidP="00832737">
      <w:pPr>
        <w:spacing w:after="120"/>
        <w:ind w:left="425"/>
        <w:jc w:val="both"/>
      </w:pPr>
    </w:p>
    <w:p w:rsidR="00C44564" w:rsidRDefault="00C44564" w:rsidP="00832737">
      <w:pPr>
        <w:spacing w:after="0"/>
        <w:ind w:left="425"/>
        <w:jc w:val="both"/>
      </w:pPr>
      <w:r>
        <w:t>Wielkość wpływu wniosków o wydanie interpretacji ogólnej do biur KIP oraz ilości wydanych postanowień o pozostawi</w:t>
      </w:r>
      <w:r w:rsidR="00057574">
        <w:t xml:space="preserve">eniu bez rozpatrzenia wniosków </w:t>
      </w:r>
      <w:r>
        <w:t>ORD-OG przedstawiono poniżej.</w:t>
      </w:r>
    </w:p>
    <w:p w:rsidR="007508A4" w:rsidRDefault="007508A4" w:rsidP="00832737">
      <w:pPr>
        <w:spacing w:after="120"/>
        <w:ind w:left="425"/>
        <w:jc w:val="both"/>
      </w:pPr>
    </w:p>
    <w:p w:rsidR="00C44564" w:rsidRDefault="00C44564" w:rsidP="00C44564">
      <w:pPr>
        <w:jc w:val="both"/>
      </w:pPr>
      <w:r>
        <w:rPr>
          <w:noProof/>
          <w:lang w:eastAsia="pl-PL"/>
        </w:rPr>
        <w:drawing>
          <wp:inline distT="0" distB="0" distL="0" distR="0">
            <wp:extent cx="5960745" cy="3314700"/>
            <wp:effectExtent l="0" t="0" r="20955" b="19050"/>
            <wp:docPr id="5" name="Wykres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F4553" w:rsidRPr="00DF729E" w:rsidRDefault="008F4553" w:rsidP="00832737">
      <w:pPr>
        <w:pStyle w:val="Akapitzlist"/>
        <w:numPr>
          <w:ilvl w:val="0"/>
          <w:numId w:val="12"/>
        </w:numPr>
        <w:autoSpaceDE w:val="0"/>
        <w:autoSpaceDN w:val="0"/>
        <w:adjustRightInd w:val="0"/>
        <w:spacing w:after="120" w:line="276" w:lineRule="auto"/>
        <w:ind w:left="426" w:hanging="142"/>
        <w:contextualSpacing w:val="0"/>
        <w:jc w:val="both"/>
        <w:outlineLvl w:val="0"/>
        <w:rPr>
          <w:rFonts w:asciiTheme="minorHAnsi" w:hAnsiTheme="minorHAnsi"/>
          <w:sz w:val="24"/>
          <w:szCs w:val="24"/>
        </w:rPr>
      </w:pPr>
      <w:bookmarkStart w:id="36" w:name="_Toc454976078"/>
      <w:r w:rsidRPr="00DF729E">
        <w:rPr>
          <w:rFonts w:asciiTheme="minorHAnsi" w:hAnsiTheme="minorHAnsi"/>
          <w:b/>
          <w:smallCaps/>
          <w:color w:val="365F91" w:themeColor="accent1" w:themeShade="BF"/>
          <w:sz w:val="24"/>
          <w:szCs w:val="24"/>
        </w:rPr>
        <w:lastRenderedPageBreak/>
        <w:t>WYNIKI BADAŃ ANKIETOWYCH.</w:t>
      </w:r>
      <w:bookmarkEnd w:id="36"/>
    </w:p>
    <w:p w:rsidR="00C44564" w:rsidRPr="00A95AD5" w:rsidRDefault="00C44564" w:rsidP="0036761F">
      <w:pPr>
        <w:pStyle w:val="Akapitzlist"/>
        <w:spacing w:after="120"/>
        <w:ind w:left="425"/>
        <w:contextualSpacing w:val="0"/>
      </w:pPr>
    </w:p>
    <w:p w:rsidR="00C44564" w:rsidRDefault="00C44564" w:rsidP="00832737">
      <w:pPr>
        <w:pStyle w:val="Akapitzlist"/>
        <w:spacing w:after="240"/>
        <w:ind w:left="425"/>
        <w:contextualSpacing w:val="0"/>
        <w:jc w:val="both"/>
      </w:pPr>
      <w:r w:rsidRPr="00A436EE">
        <w:t>D</w:t>
      </w:r>
      <w:r w:rsidR="00057574">
        <w:t xml:space="preserve">ziałalność biur KIP cieszy się pozytywnym odbiorem wśród </w:t>
      </w:r>
      <w:r w:rsidRPr="00A436EE">
        <w:t xml:space="preserve">klientów korzystających zarówno </w:t>
      </w:r>
      <w:r w:rsidR="004B083E">
        <w:br/>
      </w:r>
      <w:r w:rsidRPr="00A436EE">
        <w:t>z usług infolinii KIP</w:t>
      </w:r>
      <w:r w:rsidR="00057574">
        <w:t>,</w:t>
      </w:r>
      <w:r w:rsidRPr="00A436EE">
        <w:t xml:space="preserve"> jak i interpretacji</w:t>
      </w:r>
      <w:r>
        <w:t xml:space="preserve">. Fakt ten potwierdzają wyniki prowadzonych badań ankietowych </w:t>
      </w:r>
      <w:r w:rsidRPr="00A436EE">
        <w:t xml:space="preserve">w </w:t>
      </w:r>
      <w:r>
        <w:t>zakresie satysfakcji klientów K</w:t>
      </w:r>
      <w:r w:rsidR="00057574">
        <w:t xml:space="preserve">rajowej Informacji Podatkowej. Na ich </w:t>
      </w:r>
      <w:r w:rsidRPr="00A436EE">
        <w:t>podstawie stwierdzić można, że około 9</w:t>
      </w:r>
      <w:r>
        <w:t>5</w:t>
      </w:r>
      <w:r w:rsidRPr="00A436EE">
        <w:t xml:space="preserve">% klientów jest zadowolonych z obsługi przez pracowników </w:t>
      </w:r>
      <w:r w:rsidR="00057574">
        <w:t xml:space="preserve">biur KIP. </w:t>
      </w:r>
      <w:r>
        <w:t>Wskaźnik NPS (</w:t>
      </w:r>
      <w:r w:rsidRPr="00640892">
        <w:rPr>
          <w:i/>
        </w:rPr>
        <w:t xml:space="preserve">Net </w:t>
      </w:r>
      <w:proofErr w:type="spellStart"/>
      <w:r w:rsidRPr="00640892">
        <w:rPr>
          <w:i/>
        </w:rPr>
        <w:t>Promoter</w:t>
      </w:r>
      <w:proofErr w:type="spellEnd"/>
      <w:r w:rsidRPr="00640892">
        <w:rPr>
          <w:i/>
        </w:rPr>
        <w:t xml:space="preserve"> </w:t>
      </w:r>
      <w:proofErr w:type="spellStart"/>
      <w:r w:rsidRPr="00640892">
        <w:rPr>
          <w:i/>
        </w:rPr>
        <w:t>score</w:t>
      </w:r>
      <w:proofErr w:type="spellEnd"/>
      <w:r w:rsidR="00951422">
        <w:t>)</w:t>
      </w:r>
      <w:r w:rsidR="00951422">
        <w:rPr>
          <w:rStyle w:val="Odwoanieprzypisudolnego"/>
        </w:rPr>
        <w:footnoteReference w:id="1"/>
      </w:r>
      <w:r w:rsidR="00057574">
        <w:t xml:space="preserve"> wynosił zaś </w:t>
      </w:r>
      <w:r>
        <w:t>w 2011 r</w:t>
      </w:r>
      <w:r w:rsidR="004B083E">
        <w:t>.</w:t>
      </w:r>
      <w:r w:rsidR="00057574">
        <w:t xml:space="preserve"> 38, natomiast rok później − 48.</w:t>
      </w:r>
    </w:p>
    <w:p w:rsidR="00C44564" w:rsidRPr="00A436EE" w:rsidRDefault="00C44564" w:rsidP="00951422">
      <w:pPr>
        <w:pStyle w:val="Akapitzlist"/>
        <w:ind w:left="0"/>
        <w:jc w:val="center"/>
      </w:pPr>
      <w:r w:rsidRPr="006764CC">
        <w:rPr>
          <w:noProof/>
          <w:sz w:val="20"/>
          <w:szCs w:val="20"/>
          <w:lang w:eastAsia="pl-PL"/>
        </w:rPr>
        <w:drawing>
          <wp:inline distT="0" distB="0" distL="0" distR="0">
            <wp:extent cx="5348377" cy="2281555"/>
            <wp:effectExtent l="0" t="0" r="0"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354595" cy="2284208"/>
                    </a:xfrm>
                    <a:prstGeom prst="rect">
                      <a:avLst/>
                    </a:prstGeom>
                    <a:noFill/>
                    <a:ln>
                      <a:noFill/>
                    </a:ln>
                  </pic:spPr>
                </pic:pic>
              </a:graphicData>
            </a:graphic>
          </wp:inline>
        </w:drawing>
      </w:r>
    </w:p>
    <w:p w:rsidR="00661722" w:rsidRPr="00661722" w:rsidRDefault="00661722" w:rsidP="00661722">
      <w:pPr>
        <w:ind w:left="567"/>
        <w:jc w:val="both"/>
        <w:rPr>
          <w:i/>
          <w:sz w:val="16"/>
          <w:szCs w:val="16"/>
        </w:rPr>
      </w:pPr>
      <w:r w:rsidRPr="00661722">
        <w:rPr>
          <w:i/>
          <w:sz w:val="16"/>
          <w:szCs w:val="16"/>
        </w:rPr>
        <w:t>Źródło: Wizualizacja wyników badań „Klient w centrum uwagi administracji”</w:t>
      </w:r>
      <w:r w:rsidR="003E4164">
        <w:rPr>
          <w:i/>
          <w:sz w:val="16"/>
          <w:szCs w:val="16"/>
        </w:rPr>
        <w:t xml:space="preserve"> biura</w:t>
      </w:r>
      <w:r w:rsidRPr="00661722">
        <w:rPr>
          <w:i/>
          <w:sz w:val="16"/>
          <w:szCs w:val="16"/>
        </w:rPr>
        <w:t xml:space="preserve"> Krajowej Informacji Podatkowej.</w:t>
      </w:r>
    </w:p>
    <w:p w:rsidR="007508A4" w:rsidRPr="00A95AD5" w:rsidRDefault="007508A4" w:rsidP="000525E4">
      <w:pPr>
        <w:pStyle w:val="Akapitzlist"/>
        <w:spacing w:after="240"/>
        <w:ind w:left="425"/>
        <w:contextualSpacing w:val="0"/>
        <w:jc w:val="both"/>
        <w:rPr>
          <w:rFonts w:cs="Tahoma"/>
        </w:rPr>
      </w:pPr>
    </w:p>
    <w:p w:rsidR="008F4553" w:rsidRPr="00DF729E" w:rsidRDefault="008F4553" w:rsidP="000525E4">
      <w:pPr>
        <w:pStyle w:val="Akapitzlist"/>
        <w:numPr>
          <w:ilvl w:val="0"/>
          <w:numId w:val="12"/>
        </w:numPr>
        <w:autoSpaceDE w:val="0"/>
        <w:autoSpaceDN w:val="0"/>
        <w:adjustRightInd w:val="0"/>
        <w:spacing w:after="120"/>
        <w:ind w:left="426" w:hanging="142"/>
        <w:contextualSpacing w:val="0"/>
        <w:jc w:val="both"/>
        <w:outlineLvl w:val="0"/>
        <w:rPr>
          <w:rFonts w:asciiTheme="minorHAnsi" w:hAnsiTheme="minorHAnsi"/>
          <w:sz w:val="24"/>
          <w:szCs w:val="24"/>
        </w:rPr>
      </w:pPr>
      <w:bookmarkStart w:id="37" w:name="_Toc454976079"/>
      <w:r w:rsidRPr="00DF729E">
        <w:rPr>
          <w:rFonts w:asciiTheme="minorHAnsi" w:hAnsiTheme="minorHAnsi"/>
          <w:b/>
          <w:smallCaps/>
          <w:color w:val="365F91" w:themeColor="accent1" w:themeShade="BF"/>
          <w:sz w:val="24"/>
          <w:szCs w:val="24"/>
        </w:rPr>
        <w:t>ZASOBY KRAJOWEJ I</w:t>
      </w:r>
      <w:r w:rsidR="00951422" w:rsidRPr="00DF729E">
        <w:rPr>
          <w:rFonts w:asciiTheme="minorHAnsi" w:hAnsiTheme="minorHAnsi"/>
          <w:b/>
          <w:smallCaps/>
          <w:color w:val="365F91" w:themeColor="accent1" w:themeShade="BF"/>
          <w:sz w:val="24"/>
          <w:szCs w:val="24"/>
        </w:rPr>
        <w:t>N</w:t>
      </w:r>
      <w:r w:rsidRPr="00DF729E">
        <w:rPr>
          <w:rFonts w:asciiTheme="minorHAnsi" w:hAnsiTheme="minorHAnsi"/>
          <w:b/>
          <w:smallCaps/>
          <w:color w:val="365F91" w:themeColor="accent1" w:themeShade="BF"/>
          <w:sz w:val="24"/>
          <w:szCs w:val="24"/>
        </w:rPr>
        <w:t>F</w:t>
      </w:r>
      <w:r w:rsidR="00951422" w:rsidRPr="00DF729E">
        <w:rPr>
          <w:rFonts w:asciiTheme="minorHAnsi" w:hAnsiTheme="minorHAnsi"/>
          <w:b/>
          <w:smallCaps/>
          <w:color w:val="365F91" w:themeColor="accent1" w:themeShade="BF"/>
          <w:sz w:val="24"/>
          <w:szCs w:val="24"/>
        </w:rPr>
        <w:t>OR</w:t>
      </w:r>
      <w:r w:rsidRPr="00DF729E">
        <w:rPr>
          <w:rFonts w:asciiTheme="minorHAnsi" w:hAnsiTheme="minorHAnsi"/>
          <w:b/>
          <w:smallCaps/>
          <w:color w:val="365F91" w:themeColor="accent1" w:themeShade="BF"/>
          <w:sz w:val="24"/>
          <w:szCs w:val="24"/>
        </w:rPr>
        <w:t>MACJI PODATKOWEJ.</w:t>
      </w:r>
      <w:bookmarkEnd w:id="37"/>
    </w:p>
    <w:p w:rsidR="00C44564" w:rsidRDefault="00C44564" w:rsidP="000525E4">
      <w:pPr>
        <w:spacing w:after="120"/>
        <w:ind w:left="425"/>
        <w:jc w:val="both"/>
      </w:pPr>
    </w:p>
    <w:p w:rsidR="00C44564" w:rsidRDefault="00C44564" w:rsidP="000525E4">
      <w:pPr>
        <w:spacing w:after="120"/>
        <w:ind w:left="425"/>
        <w:jc w:val="both"/>
      </w:pPr>
      <w:r>
        <w:t>Aktualnie w biurach Krajowej Informacji Podatkowej pracuje blisko 900 osób. Struktura zatrudnienia nie jest jednakowa, ze względu na przydzielenie biurom różnych zadań podstawowych. I tak Biura w Bielsku-Białej, Lesznie, Płocku oraz Toruniu zajmują się zarówno udzielaniem informacji telefonicznych</w:t>
      </w:r>
      <w:r w:rsidR="00C210A6">
        <w:t>,</w:t>
      </w:r>
      <w:r>
        <w:t xml:space="preserve"> jak i wydawaniem interpretacji. Zadaniem głównym biura w Piotrowie Trybunalskim jes</w:t>
      </w:r>
      <w:r w:rsidR="00176AED">
        <w:t xml:space="preserve">t </w:t>
      </w:r>
      <w:r w:rsidR="00C210A6">
        <w:t xml:space="preserve">wydawanie interpretacji (nie </w:t>
      </w:r>
      <w:r>
        <w:t>funkcjo</w:t>
      </w:r>
      <w:r w:rsidR="00C210A6">
        <w:t xml:space="preserve">nuje tam infolinia). Natomiast </w:t>
      </w:r>
      <w:r>
        <w:t>biuro w Będzinie zajmuje się w</w:t>
      </w:r>
      <w:r w:rsidR="00C210A6">
        <w:t>yłącznie obsługą telefoniczną.</w:t>
      </w:r>
    </w:p>
    <w:p w:rsidR="00C44564" w:rsidRDefault="00C44564" w:rsidP="000525E4">
      <w:pPr>
        <w:spacing w:after="240"/>
        <w:ind w:left="425"/>
        <w:jc w:val="both"/>
      </w:pPr>
      <w:r>
        <w:t>Prócz kadry zajmującej się wymieniony</w:t>
      </w:r>
      <w:r w:rsidR="00176AED">
        <w:t xml:space="preserve">mi zadaniami podstawowymi, </w:t>
      </w:r>
      <w:r w:rsidR="00951422">
        <w:t>biura</w:t>
      </w:r>
      <w:r>
        <w:t xml:space="preserve"> zatrudnia</w:t>
      </w:r>
      <w:r w:rsidR="00951422">
        <w:t>ją</w:t>
      </w:r>
      <w:r>
        <w:t xml:space="preserve"> </w:t>
      </w:r>
      <w:r w:rsidR="00951422">
        <w:t xml:space="preserve">również </w:t>
      </w:r>
      <w:r>
        <w:t>kadrę zarządzającą, radców prawnych, obsługę informatyczną oraz administracyjno-kancelaryjną. Kształt struktury zatrudnienia w poszczególnych biurach KIP zaprezentowano poniżej:</w:t>
      </w:r>
    </w:p>
    <w:p w:rsidR="00752398" w:rsidRDefault="00C44564" w:rsidP="001C5949">
      <w:pPr>
        <w:spacing w:after="240"/>
        <w:jc w:val="both"/>
      </w:pPr>
      <w:r w:rsidRPr="009F116C">
        <w:rPr>
          <w:noProof/>
          <w:shd w:val="clear" w:color="auto" w:fill="C00000"/>
          <w:lang w:eastAsia="pl-PL"/>
        </w:rPr>
        <w:lastRenderedPageBreak/>
        <w:drawing>
          <wp:inline distT="0" distB="0" distL="0" distR="0" wp14:anchorId="3820B153" wp14:editId="593F8C47">
            <wp:extent cx="6150610" cy="3510951"/>
            <wp:effectExtent l="0" t="0" r="2540" b="13335"/>
            <wp:docPr id="7" name="Wykres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t xml:space="preserve"> </w:t>
      </w:r>
    </w:p>
    <w:p w:rsidR="008F4553" w:rsidRPr="00DF729E" w:rsidRDefault="008F4553" w:rsidP="008C0B61">
      <w:pPr>
        <w:pStyle w:val="Akapitzlist"/>
        <w:numPr>
          <w:ilvl w:val="0"/>
          <w:numId w:val="39"/>
        </w:numPr>
        <w:autoSpaceDE w:val="0"/>
        <w:autoSpaceDN w:val="0"/>
        <w:adjustRightInd w:val="0"/>
        <w:spacing w:after="120"/>
        <w:ind w:left="426" w:hanging="142"/>
        <w:contextualSpacing w:val="0"/>
        <w:jc w:val="both"/>
        <w:outlineLvl w:val="0"/>
        <w:rPr>
          <w:rFonts w:asciiTheme="minorHAnsi" w:hAnsiTheme="minorHAnsi"/>
          <w:sz w:val="24"/>
          <w:szCs w:val="24"/>
        </w:rPr>
      </w:pPr>
      <w:bookmarkStart w:id="38" w:name="_Toc454976080"/>
      <w:r w:rsidRPr="00DF729E">
        <w:rPr>
          <w:rFonts w:asciiTheme="minorHAnsi" w:hAnsiTheme="minorHAnsi"/>
          <w:b/>
          <w:smallCaps/>
          <w:color w:val="365F91" w:themeColor="accent1" w:themeShade="BF"/>
          <w:sz w:val="24"/>
          <w:szCs w:val="24"/>
        </w:rPr>
        <w:t>KIERUNKI DALSZEGO ROZWOJU.</w:t>
      </w:r>
      <w:bookmarkEnd w:id="38"/>
    </w:p>
    <w:p w:rsidR="00756C02" w:rsidRPr="00A95AD5" w:rsidRDefault="00756C02" w:rsidP="008C0B61">
      <w:pPr>
        <w:autoSpaceDE w:val="0"/>
        <w:autoSpaceDN w:val="0"/>
        <w:adjustRightInd w:val="0"/>
        <w:spacing w:after="120"/>
        <w:ind w:left="425"/>
        <w:jc w:val="both"/>
        <w:outlineLvl w:val="0"/>
        <w:rPr>
          <w:rFonts w:asciiTheme="minorHAnsi" w:hAnsiTheme="minorHAnsi"/>
        </w:rPr>
      </w:pPr>
    </w:p>
    <w:p w:rsidR="00911E31" w:rsidRPr="00BF5800" w:rsidRDefault="00911E31" w:rsidP="008C0B61">
      <w:pPr>
        <w:pStyle w:val="Akapitzlist"/>
        <w:spacing w:after="120"/>
        <w:ind w:left="425"/>
        <w:contextualSpacing w:val="0"/>
        <w:jc w:val="both"/>
      </w:pPr>
      <w:r w:rsidRPr="00BF5800">
        <w:t>Po 10 latach fu</w:t>
      </w:r>
      <w:r w:rsidR="00342A43">
        <w:t>n</w:t>
      </w:r>
      <w:r w:rsidRPr="00BF5800">
        <w:t>kcjonowania przed Krajową Informacją Podatkową stają nowe wyzwania, obejmujące wszystkie sfery jej działania. Nadchodzące zmiany dotyczyć będą zarówno organizacji, jak i</w:t>
      </w:r>
      <w:r w:rsidR="00C210A6">
        <w:t xml:space="preserve"> </w:t>
      </w:r>
      <w:r w:rsidRPr="00BF5800">
        <w:t>wykonywanych zadań. Podejmowane dz</w:t>
      </w:r>
      <w:r w:rsidR="001C374C">
        <w:t>iałania rozwojowe wpisują się w </w:t>
      </w:r>
      <w:r w:rsidRPr="00BF5800">
        <w:t>całokształt zmian wprowadzan</w:t>
      </w:r>
      <w:r w:rsidR="00C210A6">
        <w:t xml:space="preserve">ych w administracji skarbowej. </w:t>
      </w:r>
      <w:r w:rsidRPr="00BF5800">
        <w:t>Opierają się na wdrażaniu nowoczesnych narzędzi pracy i ukierunkowane są przede wszystkim na usprawnienie funkcjonowania Krajowej Informacji Podatkowej, poprawę jakości świadczonych p</w:t>
      </w:r>
      <w:r w:rsidR="00DF729E">
        <w:t>rzez nią usług oraz ich rozwój.</w:t>
      </w:r>
    </w:p>
    <w:p w:rsidR="00911E31" w:rsidRPr="00DF729E" w:rsidRDefault="00911E31" w:rsidP="0036761F">
      <w:pPr>
        <w:pStyle w:val="Akapitzlist"/>
        <w:autoSpaceDE w:val="0"/>
        <w:autoSpaceDN w:val="0"/>
        <w:adjustRightInd w:val="0"/>
        <w:spacing w:after="120"/>
        <w:ind w:left="426"/>
        <w:contextualSpacing w:val="0"/>
        <w:jc w:val="both"/>
        <w:outlineLvl w:val="0"/>
        <w:rPr>
          <w:rFonts w:asciiTheme="minorHAnsi" w:hAnsiTheme="minorHAnsi"/>
          <w:sz w:val="24"/>
          <w:szCs w:val="24"/>
        </w:rPr>
      </w:pPr>
    </w:p>
    <w:p w:rsidR="00C44564" w:rsidRPr="00A95AD5" w:rsidRDefault="00911E31" w:rsidP="0036761F">
      <w:pPr>
        <w:pStyle w:val="Akapitzlist"/>
        <w:numPr>
          <w:ilvl w:val="0"/>
          <w:numId w:val="43"/>
        </w:numPr>
        <w:autoSpaceDE w:val="0"/>
        <w:autoSpaceDN w:val="0"/>
        <w:adjustRightInd w:val="0"/>
        <w:spacing w:after="120"/>
        <w:ind w:left="1134" w:hanging="283"/>
        <w:contextualSpacing w:val="0"/>
        <w:jc w:val="both"/>
        <w:outlineLvl w:val="0"/>
        <w:rPr>
          <w:rFonts w:asciiTheme="minorHAnsi" w:hAnsiTheme="minorHAnsi"/>
        </w:rPr>
      </w:pPr>
      <w:bookmarkStart w:id="39" w:name="_Toc454976081"/>
      <w:r w:rsidRPr="00A95AD5">
        <w:rPr>
          <w:rFonts w:asciiTheme="minorHAnsi" w:hAnsiTheme="minorHAnsi"/>
          <w:b/>
          <w:smallCaps/>
          <w:color w:val="365F91" w:themeColor="accent1" w:themeShade="BF"/>
        </w:rPr>
        <w:t>ZMIANY OR</w:t>
      </w:r>
      <w:r w:rsidR="00951422" w:rsidRPr="00A95AD5">
        <w:rPr>
          <w:rFonts w:asciiTheme="minorHAnsi" w:hAnsiTheme="minorHAnsi"/>
          <w:b/>
          <w:smallCaps/>
          <w:color w:val="365F91" w:themeColor="accent1" w:themeShade="BF"/>
        </w:rPr>
        <w:t>GANIZACYJNE – CENTRALNE ZARZĄDZANIE</w:t>
      </w:r>
      <w:r w:rsidRPr="00A95AD5">
        <w:rPr>
          <w:rFonts w:asciiTheme="minorHAnsi" w:hAnsiTheme="minorHAnsi"/>
          <w:b/>
          <w:smallCaps/>
          <w:color w:val="365F91" w:themeColor="accent1" w:themeShade="BF"/>
        </w:rPr>
        <w:t xml:space="preserve"> ZADANIAMI.</w:t>
      </w:r>
      <w:bookmarkEnd w:id="39"/>
    </w:p>
    <w:p w:rsidR="00661722" w:rsidRPr="00DF729E" w:rsidRDefault="00661722" w:rsidP="0036761F">
      <w:pPr>
        <w:pStyle w:val="Akapitzlist"/>
        <w:autoSpaceDE w:val="0"/>
        <w:autoSpaceDN w:val="0"/>
        <w:adjustRightInd w:val="0"/>
        <w:spacing w:after="120"/>
        <w:ind w:left="425"/>
        <w:contextualSpacing w:val="0"/>
        <w:jc w:val="both"/>
        <w:outlineLvl w:val="0"/>
        <w:rPr>
          <w:rFonts w:asciiTheme="minorHAnsi" w:hAnsiTheme="minorHAnsi"/>
          <w:sz w:val="24"/>
          <w:szCs w:val="24"/>
        </w:rPr>
      </w:pPr>
    </w:p>
    <w:p w:rsidR="00C44564" w:rsidRPr="00BF5800" w:rsidRDefault="00C44564" w:rsidP="008C0B61">
      <w:pPr>
        <w:spacing w:after="120"/>
        <w:ind w:left="425"/>
        <w:jc w:val="both"/>
      </w:pPr>
      <w:r w:rsidRPr="00BF5800">
        <w:t>Pomimo podejmowanych przez Krajową Informację Podat</w:t>
      </w:r>
      <w:r w:rsidR="00057574">
        <w:t xml:space="preserve">kową działań zmierzających do </w:t>
      </w:r>
      <w:r w:rsidRPr="00BF5800">
        <w:t>stałej poprawy sprawności funkcjonowania, obecne rozproszenie organizacyjne uniemożliwia dalsze ujednolicanie warunków wykonywania zadań</w:t>
      </w:r>
      <w:r w:rsidR="004B083E">
        <w:t>,</w:t>
      </w:r>
      <w:r w:rsidRPr="00BF5800">
        <w:t xml:space="preserve"> a tym s</w:t>
      </w:r>
      <w:r w:rsidR="00C210A6">
        <w:t xml:space="preserve">amym zwiększenie efektywności i </w:t>
      </w:r>
      <w:r w:rsidRPr="00BF5800">
        <w:t>jakości działania. Rozbieżności zauważyć można przed</w:t>
      </w:r>
      <w:r>
        <w:t>e</w:t>
      </w:r>
      <w:r w:rsidRPr="00BF5800">
        <w:t xml:space="preserve"> wszystkim w zróżnicowanych warunkach pracy, takich jak polityka zatrudnienia, wynagradzania i awansowania, narzędziach pracy, czy też zakresach realizowanych zadań, które uzależnione są od zasad przyjętych w izbie skarbowej, </w:t>
      </w:r>
      <w:r w:rsidR="004B083E">
        <w:br/>
      </w:r>
      <w:r w:rsidRPr="00BF5800">
        <w:t>w której funkcjonuje dane biuro K</w:t>
      </w:r>
      <w:r>
        <w:t xml:space="preserve">rajowej </w:t>
      </w:r>
      <w:r w:rsidRPr="00BF5800">
        <w:t>I</w:t>
      </w:r>
      <w:r>
        <w:t xml:space="preserve">nformacji </w:t>
      </w:r>
      <w:r w:rsidRPr="00BF5800">
        <w:t>P</w:t>
      </w:r>
      <w:r>
        <w:t>odatkowej</w:t>
      </w:r>
      <w:r w:rsidRPr="00BF5800">
        <w:t>. Nierównomierne jest także obciążenie pracą pracowników poszczególnych biur, w szczególności w odniesieniu do ilości rozpatrywanych wn</w:t>
      </w:r>
      <w:r w:rsidR="00C210A6">
        <w:t>iosków o wydanie interpretacji.</w:t>
      </w:r>
    </w:p>
    <w:p w:rsidR="00C44564" w:rsidRPr="00BF5800" w:rsidRDefault="00C44564" w:rsidP="00941DB4">
      <w:pPr>
        <w:spacing w:after="120"/>
        <w:ind w:left="425"/>
        <w:jc w:val="both"/>
      </w:pPr>
      <w:r w:rsidRPr="00BF5800">
        <w:t xml:space="preserve">Za najlepszą drogę eliminowania niekorzystnych zjawisk występujących w Krajowej Informacji Podatkowej uznano wprowadzenie centralnego zarządzania tą instytucją i jej zadaniami, czemu </w:t>
      </w:r>
      <w:r w:rsidRPr="00BF5800">
        <w:lastRenderedPageBreak/>
        <w:t xml:space="preserve">dano wyraz w opracowanej </w:t>
      </w:r>
      <w:r w:rsidRPr="00BF5800">
        <w:rPr>
          <w:i/>
        </w:rPr>
        <w:t>Koncepcji rozwoju zadań Krajowej Informacji Podatkowej</w:t>
      </w:r>
      <w:r w:rsidRPr="00BF5800">
        <w:rPr>
          <w:rStyle w:val="Odwoanieprzypisudolnego"/>
          <w:i/>
        </w:rPr>
        <w:footnoteReference w:id="2"/>
      </w:r>
      <w:r w:rsidR="004B083E">
        <w:rPr>
          <w:i/>
        </w:rPr>
        <w:t>,</w:t>
      </w:r>
      <w:r w:rsidR="001C374C">
        <w:t xml:space="preserve"> a </w:t>
      </w:r>
      <w:r w:rsidRPr="00BF5800">
        <w:t>następnie w</w:t>
      </w:r>
      <w:r w:rsidR="00C210A6">
        <w:t xml:space="preserve"> </w:t>
      </w:r>
      <w:r w:rsidRPr="00BF5800">
        <w:t>ustawie z 10 lipca 2015 r. o administracji podatkowej</w:t>
      </w:r>
      <w:r w:rsidRPr="00BF5800">
        <w:rPr>
          <w:rStyle w:val="Odwoanieprzypisudolnego"/>
        </w:rPr>
        <w:footnoteReference w:id="3"/>
      </w:r>
      <w:r w:rsidR="00C210A6">
        <w:t>.</w:t>
      </w:r>
    </w:p>
    <w:p w:rsidR="00C44564" w:rsidRPr="00BF5800" w:rsidRDefault="00C44564" w:rsidP="00832737">
      <w:pPr>
        <w:spacing w:after="120"/>
        <w:ind w:left="425"/>
        <w:jc w:val="both"/>
      </w:pPr>
      <w:r w:rsidRPr="00BF5800">
        <w:t>Podejmowane w sferze organizacyjnej działania prorozwojowe skupiać będą się przede wszystkim na:</w:t>
      </w:r>
    </w:p>
    <w:p w:rsidR="00C44564" w:rsidRPr="00BF5800" w:rsidRDefault="00C44564" w:rsidP="009F27D7">
      <w:pPr>
        <w:pStyle w:val="Akapitzlist"/>
        <w:numPr>
          <w:ilvl w:val="0"/>
          <w:numId w:val="41"/>
        </w:numPr>
        <w:spacing w:after="0"/>
        <w:ind w:left="1701" w:hanging="567"/>
        <w:contextualSpacing w:val="0"/>
        <w:jc w:val="both"/>
      </w:pPr>
      <w:r w:rsidRPr="00BF5800">
        <w:t xml:space="preserve">Wprowadzeniu nowoczesnych i jednolitych metod zarządzania Krajową Informacją Podatkową jako całością, pozwalających w sposób efektywny wykorzystywać posiadane przez biura </w:t>
      </w:r>
      <w:r w:rsidR="0062213C">
        <w:t>KIP</w:t>
      </w:r>
      <w:r w:rsidR="00951422">
        <w:t xml:space="preserve"> </w:t>
      </w:r>
      <w:r w:rsidR="009F27D7">
        <w:t>zasoby kadrowe i rzeczowe.</w:t>
      </w:r>
    </w:p>
    <w:p w:rsidR="00C44564" w:rsidRPr="00BF5800" w:rsidRDefault="00C44564" w:rsidP="009F27D7">
      <w:pPr>
        <w:pStyle w:val="Akapitzlist"/>
        <w:numPr>
          <w:ilvl w:val="0"/>
          <w:numId w:val="41"/>
        </w:numPr>
        <w:spacing w:after="0"/>
        <w:ind w:left="1701" w:hanging="567"/>
        <w:contextualSpacing w:val="0"/>
        <w:jc w:val="both"/>
      </w:pPr>
      <w:r w:rsidRPr="00BF5800">
        <w:t>Ujednoliceniu warunków pracy w pos</w:t>
      </w:r>
      <w:r w:rsidR="00C210A6">
        <w:t xml:space="preserve">zczególnych biurach na czele ze </w:t>
      </w:r>
      <w:r w:rsidRPr="00BF5800">
        <w:t>stopniowym wyrównywaniem dysproporcji w wynagrodzeniach oraz ustaleniem jednolitych zasa</w:t>
      </w:r>
      <w:r w:rsidR="009F27D7">
        <w:t>d przyznawania nagród i awansów.</w:t>
      </w:r>
    </w:p>
    <w:p w:rsidR="00C44564" w:rsidRPr="00BF5800" w:rsidRDefault="00C44564" w:rsidP="009F27D7">
      <w:pPr>
        <w:pStyle w:val="Akapitzlist"/>
        <w:numPr>
          <w:ilvl w:val="0"/>
          <w:numId w:val="41"/>
        </w:numPr>
        <w:spacing w:after="0"/>
        <w:ind w:left="1701" w:hanging="567"/>
        <w:contextualSpacing w:val="0"/>
        <w:jc w:val="both"/>
      </w:pPr>
      <w:r w:rsidRPr="00BF5800">
        <w:t xml:space="preserve">Wdrażaniu nowoczesnych narzędzi pracy umożliwiających w pełni elektroniczną obsługę spraw i procesów realizowanych w KIP – zarówno procesów podstawowych takich jak bezpośrednia obsługa klientów (infolinia), czy też wydawanie interpretacji indywidualnych, poprzez procesy wspierające np. kadry </w:t>
      </w:r>
      <w:r w:rsidR="009F27D7">
        <w:br/>
      </w:r>
      <w:r w:rsidRPr="00BF5800">
        <w:t>i rachunkowość, na pr</w:t>
      </w:r>
      <w:r w:rsidR="009F27D7">
        <w:t>ocesach zarządczych skończywszy.</w:t>
      </w:r>
    </w:p>
    <w:p w:rsidR="00C44564" w:rsidRPr="00BF5800" w:rsidRDefault="00C44564" w:rsidP="009F27D7">
      <w:pPr>
        <w:pStyle w:val="Akapitzlist"/>
        <w:numPr>
          <w:ilvl w:val="0"/>
          <w:numId w:val="41"/>
        </w:numPr>
        <w:spacing w:after="0"/>
        <w:ind w:left="1701" w:hanging="567"/>
        <w:contextualSpacing w:val="0"/>
        <w:jc w:val="both"/>
      </w:pPr>
      <w:r w:rsidRPr="00BF5800">
        <w:t>Wprowadzeniu centralnego zarządzania zadaniami realizowanymi przez Krajową Informację Podatkową – zarówno usługami świa</w:t>
      </w:r>
      <w:r w:rsidR="001C374C">
        <w:t xml:space="preserve">dczonymi przez infolinię, </w:t>
      </w:r>
      <w:r w:rsidR="009F27D7">
        <w:br/>
      </w:r>
      <w:r w:rsidR="001C374C">
        <w:t>jak</w:t>
      </w:r>
      <w:r w:rsidR="004B083E">
        <w:t xml:space="preserve"> i </w:t>
      </w:r>
      <w:r w:rsidRPr="00BF5800">
        <w:t>zadaniami realizowanymi pr</w:t>
      </w:r>
      <w:r>
        <w:t>zez wydziały interpret</w:t>
      </w:r>
      <w:r w:rsidR="00C210A6">
        <w:t xml:space="preserve">acji – co </w:t>
      </w:r>
      <w:r w:rsidRPr="00BF5800">
        <w:t>skutkować będzie równomiernym obciążeniem pr</w:t>
      </w:r>
      <w:r w:rsidR="009F27D7">
        <w:t>acą pracowników wszystkich biur.</w:t>
      </w:r>
    </w:p>
    <w:p w:rsidR="00C44564" w:rsidRPr="00BF5800" w:rsidRDefault="00C44564" w:rsidP="009F27D7">
      <w:pPr>
        <w:pStyle w:val="Akapitzlist"/>
        <w:numPr>
          <w:ilvl w:val="0"/>
          <w:numId w:val="29"/>
        </w:numPr>
        <w:spacing w:after="240"/>
        <w:ind w:left="1701" w:hanging="567"/>
        <w:contextualSpacing w:val="0"/>
        <w:jc w:val="both"/>
      </w:pPr>
      <w:r w:rsidRPr="00BF5800">
        <w:t>Wzmocnieniu wewnętrznych procedur nadzoru nad jakością świadczonych usług oraz jednolitością wydawanych interpretac</w:t>
      </w:r>
      <w:r w:rsidR="00057574">
        <w:t>ji i udostępnianych informacji.</w:t>
      </w:r>
    </w:p>
    <w:p w:rsidR="00C44564" w:rsidRPr="00BF5800" w:rsidRDefault="00C44564" w:rsidP="00941DB4">
      <w:pPr>
        <w:spacing w:after="120"/>
        <w:ind w:left="425"/>
        <w:jc w:val="both"/>
      </w:pPr>
      <w:r w:rsidRPr="00BF5800">
        <w:t>Opisany kierunek zmian wpisuje się w całokształt przygotowywanej obecnie w resorcie finansów reformy służb skarbowych, zmierzającej do utworzenia Krajowej Administracji Skarbowej. W jej strukturach funkcjonować ma Krajowa Informacja Skarbowa</w:t>
      </w:r>
      <w:r w:rsidR="003E4164">
        <w:t xml:space="preserve"> – instytucja odpowiedzialna za</w:t>
      </w:r>
      <w:r w:rsidR="00176AED">
        <w:t xml:space="preserve"> </w:t>
      </w:r>
      <w:r w:rsidRPr="00BF5800">
        <w:t>realizację zadań wykonywanych obecnie przez Krajową Informację Podatkową oraz Cen</w:t>
      </w:r>
      <w:r w:rsidR="00176AED">
        <w:t>trum Informacji Służby Celnej.</w:t>
      </w:r>
    </w:p>
    <w:p w:rsidR="00C44564" w:rsidRPr="00BF5800" w:rsidRDefault="00C44564" w:rsidP="00832737">
      <w:pPr>
        <w:spacing w:after="120"/>
        <w:ind w:left="425"/>
        <w:jc w:val="both"/>
      </w:pPr>
      <w:r w:rsidRPr="00BF5800">
        <w:t>Zmiany w sferze organizacji i zarządzania są niezbędne dla rozwoju oferowanych przez Krajową Informację Podatkową usług. Rozwój ten będzie skupiał się w głównej mierze na:</w:t>
      </w:r>
    </w:p>
    <w:p w:rsidR="00C44564" w:rsidRPr="00BF5800" w:rsidRDefault="00C44564" w:rsidP="009F27D7">
      <w:pPr>
        <w:pStyle w:val="Akapitzlist"/>
        <w:numPr>
          <w:ilvl w:val="0"/>
          <w:numId w:val="29"/>
        </w:numPr>
        <w:spacing w:after="0"/>
        <w:ind w:left="1701" w:hanging="567"/>
        <w:contextualSpacing w:val="0"/>
        <w:jc w:val="both"/>
      </w:pPr>
      <w:r w:rsidRPr="00BF5800">
        <w:t>Poszerzaniu katalogu świadczonych usług informacyjnych, w szczególności uruchami</w:t>
      </w:r>
      <w:r w:rsidR="009F27D7">
        <w:t>aniu nowych kanałów komunikacji.</w:t>
      </w:r>
    </w:p>
    <w:p w:rsidR="00C44564" w:rsidRDefault="00C44564" w:rsidP="009F27D7">
      <w:pPr>
        <w:pStyle w:val="Akapitzlist"/>
        <w:numPr>
          <w:ilvl w:val="0"/>
          <w:numId w:val="29"/>
        </w:numPr>
        <w:spacing w:after="120"/>
        <w:ind w:left="1701" w:hanging="567"/>
        <w:contextualSpacing w:val="0"/>
        <w:jc w:val="both"/>
      </w:pPr>
      <w:r w:rsidRPr="00BF5800">
        <w:t>Zwiększaniu zasobów udostępnianych informacji.</w:t>
      </w:r>
    </w:p>
    <w:p w:rsidR="00911E31" w:rsidRPr="00BF5800" w:rsidRDefault="00911E31" w:rsidP="0036761F">
      <w:pPr>
        <w:spacing w:after="120"/>
        <w:ind w:left="426"/>
        <w:jc w:val="both"/>
      </w:pPr>
    </w:p>
    <w:p w:rsidR="00C44564" w:rsidRPr="00A95AD5" w:rsidRDefault="008F4553" w:rsidP="0036761F">
      <w:pPr>
        <w:pStyle w:val="Akapitzlist"/>
        <w:numPr>
          <w:ilvl w:val="0"/>
          <w:numId w:val="43"/>
        </w:numPr>
        <w:autoSpaceDE w:val="0"/>
        <w:autoSpaceDN w:val="0"/>
        <w:adjustRightInd w:val="0"/>
        <w:spacing w:after="120"/>
        <w:ind w:left="1134" w:hanging="283"/>
        <w:contextualSpacing w:val="0"/>
        <w:jc w:val="both"/>
        <w:outlineLvl w:val="0"/>
        <w:rPr>
          <w:rFonts w:asciiTheme="minorHAnsi" w:hAnsiTheme="minorHAnsi"/>
        </w:rPr>
      </w:pPr>
      <w:bookmarkStart w:id="40" w:name="_Toc454976082"/>
      <w:r w:rsidRPr="00A95AD5">
        <w:rPr>
          <w:rFonts w:asciiTheme="minorHAnsi" w:hAnsiTheme="minorHAnsi"/>
          <w:b/>
          <w:smallCaps/>
          <w:color w:val="365F91" w:themeColor="accent1" w:themeShade="BF"/>
        </w:rPr>
        <w:t>BEZPOŚREDNIA OBSŁUGA – ROZWÓJ INFOLINII I NOWYCH KANAŁÓW KOMUNIKACJI.</w:t>
      </w:r>
      <w:bookmarkEnd w:id="40"/>
    </w:p>
    <w:p w:rsidR="00661722" w:rsidRPr="00C210A6" w:rsidRDefault="00661722" w:rsidP="0036761F">
      <w:pPr>
        <w:autoSpaceDE w:val="0"/>
        <w:autoSpaceDN w:val="0"/>
        <w:adjustRightInd w:val="0"/>
        <w:spacing w:after="120"/>
        <w:ind w:left="426"/>
        <w:jc w:val="both"/>
        <w:outlineLvl w:val="0"/>
        <w:rPr>
          <w:rFonts w:asciiTheme="minorHAnsi" w:hAnsiTheme="minorHAnsi"/>
        </w:rPr>
      </w:pPr>
    </w:p>
    <w:p w:rsidR="00C44564" w:rsidRPr="00BF5800" w:rsidRDefault="00C44564" w:rsidP="00832737">
      <w:pPr>
        <w:spacing w:after="120"/>
        <w:ind w:left="425"/>
        <w:jc w:val="both"/>
      </w:pPr>
      <w:r w:rsidRPr="00BF5800">
        <w:t>Dru</w:t>
      </w:r>
      <w:r w:rsidR="00DF729E">
        <w:t>ga połowa 2016 r. oraz 2017 r</w:t>
      </w:r>
      <w:r w:rsidR="004B083E">
        <w:t>.</w:t>
      </w:r>
      <w:r w:rsidRPr="00BF5800">
        <w:t xml:space="preserve"> to czas intensywneg</w:t>
      </w:r>
      <w:r w:rsidR="001C374C">
        <w:t>o rozwoju usług realizowanych w </w:t>
      </w:r>
      <w:r w:rsidRPr="00BF5800">
        <w:t>obszarze obsługi bezpośredniej, umożliwiony głównie poprzez wdrażanie kolejn</w:t>
      </w:r>
      <w:r w:rsidR="00057574">
        <w:t>ych etapów Programu e-Podatki.</w:t>
      </w:r>
    </w:p>
    <w:p w:rsidR="00C44564" w:rsidRPr="00BF5800" w:rsidRDefault="00C44564" w:rsidP="00941DB4">
      <w:pPr>
        <w:spacing w:after="120"/>
        <w:ind w:left="425"/>
        <w:jc w:val="both"/>
      </w:pPr>
      <w:r w:rsidRPr="00BF5800">
        <w:lastRenderedPageBreak/>
        <w:t>W ramach planowanej ścieżki dalszego rozwoju poszerzony zostanie katalog świadczonych usług informacyjnych oraz uruchomione zostaną nowe kanały komunikacji. Jeszcze w 2016 r. podatnicy będą mieli możliwość zadania pytania za pomocą formularza umieszczonego na Portalu Podatkowym. Usługa ta umożliwi zadawanie pytań za pomocą przygotowanego formularza, bez konieczności logowania się do jakiegokolwiek systemu. Udostępniony formularz obejmie swoim zakresem zapytania będące w zakr</w:t>
      </w:r>
      <w:r w:rsidR="001C374C">
        <w:t>esie infolinii podatkowej</w:t>
      </w:r>
      <w:r w:rsidR="004B083E">
        <w:t xml:space="preserve">, jak i </w:t>
      </w:r>
      <w:r w:rsidR="00DF729E">
        <w:t>infolinii celnej.</w:t>
      </w:r>
    </w:p>
    <w:p w:rsidR="00C44564" w:rsidRPr="00BF5800" w:rsidRDefault="00C44564" w:rsidP="00941DB4">
      <w:pPr>
        <w:spacing w:after="120"/>
        <w:ind w:left="425"/>
        <w:jc w:val="both"/>
      </w:pPr>
      <w:r w:rsidRPr="00BF5800">
        <w:t>Kolejnym kanałem komunikacji, który Krajowa Informacja Podatkowa chce udostępnić podatnikom to możliwość chatu z konsultantem, który byłby</w:t>
      </w:r>
      <w:r w:rsidR="00DF729E">
        <w:t xml:space="preserve"> uruchamiany za pomocą linku na Portalu Podatkowym.</w:t>
      </w:r>
    </w:p>
    <w:p w:rsidR="00C44564" w:rsidRDefault="00C44564" w:rsidP="00941DB4">
      <w:pPr>
        <w:spacing w:after="120"/>
        <w:ind w:left="425"/>
        <w:jc w:val="both"/>
      </w:pPr>
      <w:r>
        <w:t>Następnym udogodnieniem będzie</w:t>
      </w:r>
      <w:r w:rsidRPr="00BF5800">
        <w:t xml:space="preserve"> możliwość uzyskania – automatycznie</w:t>
      </w:r>
      <w:r w:rsidR="004B083E">
        <w:t>,</w:t>
      </w:r>
      <w:r w:rsidRPr="00BF5800">
        <w:t xml:space="preserve"> jak i poprzez kontakt z konsultantem – informacji na temat indywidualnych danych podatników. Usługa umożliwi klientowi uwierzytelnionemu za pomocą specjalnego kodu PIN uzyskanie informacji na temat jego indywidualnych danych, w tym także aktualn</w:t>
      </w:r>
      <w:r>
        <w:t>ych stanów</w:t>
      </w:r>
      <w:r w:rsidR="001C374C">
        <w:t xml:space="preserve"> rozrachunków z fiskusem. W </w:t>
      </w:r>
      <w:r w:rsidRPr="00BF5800">
        <w:t>pierwszym etapie dane udostępniane podatnikom będą swoim zakresem obejmowały podatek od czynności cywilnoprawnych, podatek od spadków i</w:t>
      </w:r>
      <w:r>
        <w:t xml:space="preserve"> </w:t>
      </w:r>
      <w:r w:rsidR="003E4164">
        <w:t>darowizn oraz informacje dot</w:t>
      </w:r>
      <w:r w:rsidR="004B083E">
        <w:t xml:space="preserve">yczące </w:t>
      </w:r>
      <w:r w:rsidRPr="00BF5800">
        <w:t>karty podatkowej. Docelowo mają dotyczyć wszystkich podatków.</w:t>
      </w:r>
    </w:p>
    <w:p w:rsidR="007508A4" w:rsidRPr="00BF5800" w:rsidRDefault="007508A4" w:rsidP="0036761F">
      <w:pPr>
        <w:spacing w:after="120"/>
        <w:ind w:left="425"/>
        <w:jc w:val="both"/>
      </w:pPr>
    </w:p>
    <w:p w:rsidR="00C44564" w:rsidRPr="00A95AD5" w:rsidRDefault="008F4553" w:rsidP="0036761F">
      <w:pPr>
        <w:pStyle w:val="Akapitzlist"/>
        <w:numPr>
          <w:ilvl w:val="0"/>
          <w:numId w:val="43"/>
        </w:numPr>
        <w:autoSpaceDE w:val="0"/>
        <w:autoSpaceDN w:val="0"/>
        <w:adjustRightInd w:val="0"/>
        <w:spacing w:after="120"/>
        <w:ind w:left="1135" w:hanging="284"/>
        <w:contextualSpacing w:val="0"/>
        <w:jc w:val="both"/>
        <w:outlineLvl w:val="0"/>
        <w:rPr>
          <w:rFonts w:asciiTheme="minorHAnsi" w:hAnsiTheme="minorHAnsi"/>
        </w:rPr>
      </w:pPr>
      <w:bookmarkStart w:id="41" w:name="_Toc454976083"/>
      <w:r w:rsidRPr="00A95AD5">
        <w:rPr>
          <w:rFonts w:asciiTheme="minorHAnsi" w:hAnsiTheme="minorHAnsi"/>
          <w:b/>
          <w:smallCaps/>
          <w:color w:val="365F91" w:themeColor="accent1" w:themeShade="BF"/>
        </w:rPr>
        <w:t>INTERPRETACJE IND</w:t>
      </w:r>
      <w:r w:rsidR="0062213C" w:rsidRPr="00A95AD5">
        <w:rPr>
          <w:rFonts w:asciiTheme="minorHAnsi" w:hAnsiTheme="minorHAnsi"/>
          <w:b/>
          <w:smallCaps/>
          <w:color w:val="365F91" w:themeColor="accent1" w:themeShade="BF"/>
        </w:rPr>
        <w:t>Y</w:t>
      </w:r>
      <w:r w:rsidRPr="00A95AD5">
        <w:rPr>
          <w:rFonts w:asciiTheme="minorHAnsi" w:hAnsiTheme="minorHAnsi"/>
          <w:b/>
          <w:smallCaps/>
          <w:color w:val="365F91" w:themeColor="accent1" w:themeShade="BF"/>
        </w:rPr>
        <w:t>WIDUALNE.</w:t>
      </w:r>
      <w:bookmarkEnd w:id="41"/>
    </w:p>
    <w:p w:rsidR="00661722" w:rsidRPr="00545FC9" w:rsidRDefault="00661722" w:rsidP="0036761F">
      <w:pPr>
        <w:autoSpaceDE w:val="0"/>
        <w:autoSpaceDN w:val="0"/>
        <w:adjustRightInd w:val="0"/>
        <w:spacing w:after="120"/>
        <w:ind w:left="425"/>
        <w:jc w:val="both"/>
        <w:outlineLvl w:val="0"/>
        <w:rPr>
          <w:rFonts w:asciiTheme="minorHAnsi" w:hAnsiTheme="minorHAnsi"/>
        </w:rPr>
      </w:pPr>
    </w:p>
    <w:p w:rsidR="00C44564" w:rsidRDefault="00C44564" w:rsidP="00932F74">
      <w:pPr>
        <w:spacing w:after="120"/>
        <w:ind w:left="425"/>
        <w:jc w:val="both"/>
      </w:pPr>
      <w:r w:rsidRPr="00BF5800">
        <w:t xml:space="preserve">Interpretacje indywidualne są obecnie podstawowym instrumentem wzmacniającym pewność co do sposobu rozumienia przepisów prawa podatkowego. Działania wspierające rozwój w tym obszarze będą koncentrować się na zwiększeniu dostępności do interpretacji, wzmocnieniu procedur zapewniających </w:t>
      </w:r>
      <w:r w:rsidR="0062213C">
        <w:t xml:space="preserve">ich </w:t>
      </w:r>
      <w:r w:rsidRPr="00BF5800">
        <w:t>jednolitość, jak również uczynieniu z interpretacji jednego z</w:t>
      </w:r>
      <w:r w:rsidR="0062213C">
        <w:t> </w:t>
      </w:r>
      <w:r w:rsidRPr="00BF5800">
        <w:t>narzędzi umożliwiających usz</w:t>
      </w:r>
      <w:r w:rsidR="00DF729E">
        <w:t>czelnienie systemu podatkowego.</w:t>
      </w:r>
    </w:p>
    <w:p w:rsidR="00C44564" w:rsidRPr="00BF5800" w:rsidRDefault="00C44564" w:rsidP="00832737">
      <w:pPr>
        <w:spacing w:after="120"/>
        <w:ind w:left="425"/>
        <w:jc w:val="both"/>
      </w:pPr>
      <w:r w:rsidRPr="00BF5800">
        <w:t>Zwiększenie dostępu do interpretacji będzie następować poprzez:</w:t>
      </w:r>
    </w:p>
    <w:p w:rsidR="00C44564" w:rsidRPr="00BF5800" w:rsidRDefault="00C44564" w:rsidP="009F27D7">
      <w:pPr>
        <w:pStyle w:val="Akapitzlist"/>
        <w:numPr>
          <w:ilvl w:val="0"/>
          <w:numId w:val="42"/>
        </w:numPr>
        <w:spacing w:after="0"/>
        <w:ind w:left="1701" w:hanging="567"/>
        <w:contextualSpacing w:val="0"/>
        <w:jc w:val="both"/>
      </w:pPr>
      <w:r w:rsidRPr="00BF5800">
        <w:t>Stopniowe skracanie czasu oczekiwania na wydanie interpretacji co umożliwi podatnikom szybsze podejmowanie decyzji i sprawniejszą realizację obowiązków podatkowych – docelowo śred</w:t>
      </w:r>
      <w:r w:rsidR="001C374C">
        <w:t>ni czas rozpatrywania wniosku o </w:t>
      </w:r>
      <w:r w:rsidRPr="00BF5800">
        <w:t>interpretację nie powinien być dłuższy niż 2</w:t>
      </w:r>
      <w:r>
        <w:t xml:space="preserve"> </w:t>
      </w:r>
      <w:r w:rsidRPr="00BF5800">
        <w:t>miesiące.</w:t>
      </w:r>
    </w:p>
    <w:p w:rsidR="00C44564" w:rsidRPr="00BF5800" w:rsidRDefault="00C44564" w:rsidP="009F27D7">
      <w:pPr>
        <w:pStyle w:val="Akapitzlist"/>
        <w:numPr>
          <w:ilvl w:val="0"/>
          <w:numId w:val="42"/>
        </w:numPr>
        <w:spacing w:after="240"/>
        <w:ind w:left="1701" w:hanging="567"/>
        <w:contextualSpacing w:val="0"/>
        <w:jc w:val="both"/>
      </w:pPr>
      <w:r w:rsidRPr="00BF5800">
        <w:t>Uruchamianie nowych form składan</w:t>
      </w:r>
      <w:r w:rsidR="001C374C">
        <w:t>ia wniosków w miarę postępów we </w:t>
      </w:r>
      <w:r w:rsidRPr="00BF5800">
        <w:t>wdrażaniu produktów Projektu e-Podatki (możliwość składania wniosków przez Portal Podatkowy).</w:t>
      </w:r>
    </w:p>
    <w:p w:rsidR="00C44564" w:rsidRPr="00BF5800" w:rsidRDefault="00C44564" w:rsidP="00932F74">
      <w:pPr>
        <w:spacing w:after="120"/>
        <w:ind w:left="425"/>
        <w:jc w:val="both"/>
      </w:pPr>
      <w:r w:rsidRPr="00BF5800">
        <w:t>Poszerzenie dostępu do interpretacji będzie szło w parze ze wzmocnieniem narzędzi zapewniających jednolitość interpretacji – wprowadzeniem nowych procedur wewnętrznych zmierzających do szybkiego wykrywania i eliminowania ewentualnych rozbieżności oraz zapobiegania ich powstawaniu.</w:t>
      </w:r>
    </w:p>
    <w:p w:rsidR="00C44564" w:rsidRDefault="00C44564" w:rsidP="00932F74">
      <w:pPr>
        <w:spacing w:after="120"/>
        <w:ind w:left="425"/>
        <w:jc w:val="both"/>
      </w:pPr>
      <w:r w:rsidRPr="00BF5800">
        <w:t>Oprócz udogodnień dla zainteresowanych otrzymaniem interpretacji indywidualnej interpretacje te będą także oddziaływać na kształt polskiego systemu podatkowego. Ich analiza pozwoli na bieżące dostarczanie informacji na temat nieprawidłowości w systemie podatkowym, pozwalających na jego uproszczenie i uszczelnienie. Podobny skutek wywierać będzie uczestnictwo w systemie międzynarodowej wymiany interpretacji – umożliwi ono pozyskiwanie informacji na temat preferencji udzielanych przedsiębiorcom przez inne kraje, które mogą wpływać na konkurencyjność polskich przedsiębiorców na rynku międzynarodowym oraz stan polskich finansów publicznych.</w:t>
      </w:r>
    </w:p>
    <w:p w:rsidR="00C44564" w:rsidRPr="00A95AD5" w:rsidRDefault="008F4553" w:rsidP="00832737">
      <w:pPr>
        <w:pStyle w:val="Akapitzlist"/>
        <w:numPr>
          <w:ilvl w:val="0"/>
          <w:numId w:val="43"/>
        </w:numPr>
        <w:autoSpaceDE w:val="0"/>
        <w:autoSpaceDN w:val="0"/>
        <w:adjustRightInd w:val="0"/>
        <w:spacing w:after="120"/>
        <w:ind w:left="1135" w:hanging="284"/>
        <w:contextualSpacing w:val="0"/>
        <w:jc w:val="both"/>
        <w:outlineLvl w:val="0"/>
        <w:rPr>
          <w:rFonts w:asciiTheme="minorHAnsi" w:hAnsiTheme="minorHAnsi"/>
        </w:rPr>
      </w:pPr>
      <w:bookmarkStart w:id="42" w:name="_Toc454976084"/>
      <w:r w:rsidRPr="00A95AD5">
        <w:rPr>
          <w:rFonts w:asciiTheme="minorHAnsi" w:hAnsiTheme="minorHAnsi"/>
          <w:b/>
          <w:smallCaps/>
          <w:color w:val="365F91" w:themeColor="accent1" w:themeShade="BF"/>
        </w:rPr>
        <w:lastRenderedPageBreak/>
        <w:t>ZWIĘKSZENIE KATALOGU UDOSTEPNIANYCH INFORMACJI.</w:t>
      </w:r>
      <w:bookmarkEnd w:id="42"/>
    </w:p>
    <w:p w:rsidR="00661722" w:rsidRPr="00545FC9" w:rsidRDefault="00661722" w:rsidP="00A34442">
      <w:pPr>
        <w:autoSpaceDE w:val="0"/>
        <w:autoSpaceDN w:val="0"/>
        <w:adjustRightInd w:val="0"/>
        <w:spacing w:after="120"/>
        <w:ind w:left="425"/>
        <w:jc w:val="both"/>
        <w:outlineLvl w:val="0"/>
        <w:rPr>
          <w:rFonts w:asciiTheme="minorHAnsi" w:hAnsiTheme="minorHAnsi"/>
        </w:rPr>
      </w:pPr>
    </w:p>
    <w:p w:rsidR="00C44564" w:rsidRPr="00BF5800" w:rsidRDefault="00C44564" w:rsidP="00832737">
      <w:pPr>
        <w:spacing w:after="120"/>
        <w:ind w:left="425"/>
        <w:jc w:val="both"/>
      </w:pPr>
      <w:r w:rsidRPr="00BF5800">
        <w:t>Zapewnienie łatwego i szybkiego dostępu do jednolitej i rzetelnej informacji wszystkim zainteresowanym podmiotom jest niezwykle istot</w:t>
      </w:r>
      <w:r w:rsidR="00057574">
        <w:t>ne zarówno dla podatników</w:t>
      </w:r>
      <w:r w:rsidR="00545FC9">
        <w:t>,</w:t>
      </w:r>
      <w:r w:rsidR="00057574">
        <w:t xml:space="preserve"> jak i </w:t>
      </w:r>
      <w:r w:rsidRPr="00BF5800">
        <w:t>pracowników innych jednostek podległych Ministrowi Finansów. Inf</w:t>
      </w:r>
      <w:r w:rsidR="00057574">
        <w:t xml:space="preserve">ormacja jest bowiem podstawą do </w:t>
      </w:r>
      <w:r w:rsidRPr="00BF5800">
        <w:t>podejmowania przez nich stosownych decyzji i działań. Dlatego też podejmowane przez Krajową Informację Podatkową działania zmierzające do rozwoju usług świadczonych bezpośrednio na rzecz zainteresowanych, uzupełnione z</w:t>
      </w:r>
      <w:r w:rsidR="00057574">
        <w:t xml:space="preserve">ostaną o budowę kompleksowego i </w:t>
      </w:r>
      <w:r w:rsidRPr="00BF5800">
        <w:t>powszechnie dostępnego zbioru informacji.</w:t>
      </w:r>
    </w:p>
    <w:p w:rsidR="00C44564" w:rsidRPr="00057574" w:rsidRDefault="00C44564" w:rsidP="00832737">
      <w:pPr>
        <w:spacing w:after="0"/>
        <w:ind w:left="425"/>
        <w:jc w:val="both"/>
      </w:pPr>
      <w:r w:rsidRPr="00BF5800">
        <w:t>Aktualnie prowadzone są prace nad narzędziem mającym umożliwić poszerzenie katalogu rodzaju udostępnianych przez Krajową Informację Podatkową materiałów informacyjnych. Docelowo podatnikom oraz pracownikom administracji skarbowej mają zostać udostępnione wewnętrzne zasoby informacyjne, z których korzystają pracownicy Krajowej Informacji Podatkowej. Związane to będzie z uruchomieniem nowej wyszukiwarki informacji, która umożliwi udostępnianie i</w:t>
      </w:r>
      <w:r w:rsidR="00DF729E">
        <w:t xml:space="preserve"> </w:t>
      </w:r>
      <w:r w:rsidRPr="00BF5800">
        <w:t>wyszukiwanie większej ilości informacji, w tym interpretacji podatkowych, broszur informacyjnych itp.</w:t>
      </w:r>
    </w:p>
    <w:sectPr w:rsidR="00C44564" w:rsidRPr="00057574" w:rsidSect="008F4553">
      <w:headerReference w:type="default" r:id="rId23"/>
      <w:pgSz w:w="11906" w:h="16838"/>
      <w:pgMar w:top="1304" w:right="1418" w:bottom="130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6662" w:rsidRDefault="004E6662" w:rsidP="002148CA">
      <w:pPr>
        <w:spacing w:after="0" w:line="240" w:lineRule="auto"/>
      </w:pPr>
      <w:r>
        <w:separator/>
      </w:r>
    </w:p>
  </w:endnote>
  <w:endnote w:type="continuationSeparator" w:id="0">
    <w:p w:rsidR="004E6662" w:rsidRDefault="004E6662" w:rsidP="002148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6662" w:rsidRDefault="004E6662" w:rsidP="002148CA">
      <w:pPr>
        <w:spacing w:after="0" w:line="240" w:lineRule="auto"/>
      </w:pPr>
      <w:r>
        <w:separator/>
      </w:r>
    </w:p>
  </w:footnote>
  <w:footnote w:type="continuationSeparator" w:id="0">
    <w:p w:rsidR="004E6662" w:rsidRDefault="004E6662" w:rsidP="002148CA">
      <w:pPr>
        <w:spacing w:after="0" w:line="240" w:lineRule="auto"/>
      </w:pPr>
      <w:r>
        <w:continuationSeparator/>
      </w:r>
    </w:p>
  </w:footnote>
  <w:footnote w:id="1">
    <w:p w:rsidR="00951422" w:rsidRPr="00951422" w:rsidRDefault="00951422" w:rsidP="00951422">
      <w:pPr>
        <w:pStyle w:val="Akapitzlist"/>
        <w:spacing w:after="0" w:line="240" w:lineRule="auto"/>
        <w:ind w:left="567"/>
        <w:jc w:val="both"/>
        <w:rPr>
          <w:rFonts w:cs="Tahoma"/>
          <w:i/>
          <w:sz w:val="16"/>
          <w:szCs w:val="16"/>
        </w:rPr>
      </w:pPr>
      <w:r>
        <w:rPr>
          <w:rStyle w:val="Odwoanieprzypisudolnego"/>
        </w:rPr>
        <w:footnoteRef/>
      </w:r>
      <w:r>
        <w:t xml:space="preserve"> </w:t>
      </w:r>
      <w:r w:rsidRPr="00951422">
        <w:rPr>
          <w:rFonts w:cs="Tahoma"/>
          <w:i/>
          <w:sz w:val="16"/>
          <w:szCs w:val="16"/>
        </w:rPr>
        <w:t>Jeden z najbardziej popularnych wskaźników używanych do prezentacji wyników badań satysfakcji. Jest on uzyskiwany poprzez zadawanie respondentom pojedynczego pytania, ‘Na ile prawdopodobne jest, że polecił(a)by Pan(i) produkt/usługę przyjaciołom lub znajomym’. Klient ma do wyboru odpowiedzi oznaczone od 0 do 10, gdzie 10 to „Bardzo prawdopodobne”, a 0 „Zupełnie nieprawdopodobne”. Następnie klienci ze względu na udzielone odpowiedzi kategoryzowani są do jednej z trzech grup: „Promujący” (respondenci, którzy zaznaczyli odpowiedzi 9 lub 10), „Bierni” (odpowiedzi 7-8) oraz „Krytyczni” (odpowiedzi 0-6).Wskaźnik wylicza się odejmując odsetek „Promujących” od odsetka „Krytycznych”, w związku z czym jego wartość może wynosić od -100 (wszyscy respondenci udzielili odpowiedzi 0-6, wszyscy są więc „Krytyczni”) do +100 (wszyscy są „Promującymi”).Przykładowo jeśli 50% osób zaznaczyło odpowiedź 9 lub 10, a 20% odpowiedzi od 0 do 6, to wartość wskaźnika wynosi +30.Wskaźnik porównuje się pomiędzy falami sprawdzając, czy poprawia się podejście klientów do urzędu.</w:t>
      </w:r>
    </w:p>
    <w:p w:rsidR="00951422" w:rsidRDefault="00951422">
      <w:pPr>
        <w:pStyle w:val="Tekstprzypisudolnego"/>
      </w:pPr>
    </w:p>
  </w:footnote>
  <w:footnote w:id="2">
    <w:p w:rsidR="009D313B" w:rsidRDefault="009D313B" w:rsidP="00C44564">
      <w:pPr>
        <w:pStyle w:val="Tekstprzypisudolnego"/>
      </w:pPr>
      <w:r>
        <w:rPr>
          <w:rStyle w:val="Odwoanieprzypisudolnego"/>
        </w:rPr>
        <w:footnoteRef/>
      </w:r>
      <w:r>
        <w:t xml:space="preserve"> </w:t>
      </w:r>
      <w:r w:rsidRPr="00F10B64">
        <w:rPr>
          <w:i/>
        </w:rPr>
        <w:t>Koncepcja rozwoju zadań Krajowej Informacji Podatkowej</w:t>
      </w:r>
      <w:r>
        <w:rPr>
          <w:i/>
        </w:rPr>
        <w:t xml:space="preserve">, </w:t>
      </w:r>
      <w:r>
        <w:t xml:space="preserve">Warszawa, 19 grudnia 2014 r. </w:t>
      </w:r>
      <w:r w:rsidRPr="00F10B64">
        <w:t>http://archwww.mf.gov.pl/_files_/intranet/intranet_ap/wydarzenia_i_aktualnosci/ministerstwo_finansow/2014/koncepcja_rozwoju_kip.pdf</w:t>
      </w:r>
      <w:r>
        <w:t xml:space="preserve"> </w:t>
      </w:r>
    </w:p>
  </w:footnote>
  <w:footnote w:id="3">
    <w:p w:rsidR="009D313B" w:rsidRDefault="009D313B" w:rsidP="00C44564">
      <w:pPr>
        <w:pStyle w:val="Tekstprzypisudolnego"/>
      </w:pPr>
      <w:r>
        <w:rPr>
          <w:rStyle w:val="Odwoanieprzypisudolnego"/>
        </w:rPr>
        <w:footnoteRef/>
      </w:r>
      <w:r>
        <w:t xml:space="preserve"> Dz.U. z 2015 r. poz. 1269 ze zm.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8336367"/>
      <w:docPartObj>
        <w:docPartGallery w:val="Page Numbers (Top of Page)"/>
        <w:docPartUnique/>
      </w:docPartObj>
    </w:sdtPr>
    <w:sdtEndPr/>
    <w:sdtContent>
      <w:p w:rsidR="009D313B" w:rsidRDefault="009D313B" w:rsidP="00DF729E">
        <w:pPr>
          <w:pStyle w:val="Nagwek"/>
          <w:jc w:val="right"/>
        </w:pPr>
        <w:r>
          <w:t xml:space="preserve">Strona </w:t>
        </w:r>
        <w:r w:rsidR="00E15396">
          <w:rPr>
            <w:b/>
            <w:bCs/>
            <w:sz w:val="24"/>
            <w:szCs w:val="24"/>
          </w:rPr>
          <w:fldChar w:fldCharType="begin"/>
        </w:r>
        <w:r>
          <w:rPr>
            <w:b/>
            <w:bCs/>
          </w:rPr>
          <w:instrText>PAGE</w:instrText>
        </w:r>
        <w:r w:rsidR="00E15396">
          <w:rPr>
            <w:b/>
            <w:bCs/>
            <w:sz w:val="24"/>
            <w:szCs w:val="24"/>
          </w:rPr>
          <w:fldChar w:fldCharType="separate"/>
        </w:r>
        <w:r w:rsidR="00003A4A">
          <w:rPr>
            <w:b/>
            <w:bCs/>
            <w:noProof/>
          </w:rPr>
          <w:t>16</w:t>
        </w:r>
        <w:r w:rsidR="00E15396">
          <w:rPr>
            <w:b/>
            <w:bCs/>
            <w:sz w:val="24"/>
            <w:szCs w:val="24"/>
          </w:rPr>
          <w:fldChar w:fldCharType="end"/>
        </w:r>
        <w:r>
          <w:t xml:space="preserve"> z </w:t>
        </w:r>
        <w:r w:rsidR="00E15396">
          <w:rPr>
            <w:b/>
            <w:bCs/>
            <w:sz w:val="24"/>
            <w:szCs w:val="24"/>
          </w:rPr>
          <w:fldChar w:fldCharType="begin"/>
        </w:r>
        <w:r>
          <w:rPr>
            <w:b/>
            <w:bCs/>
          </w:rPr>
          <w:instrText>NUMPAGES</w:instrText>
        </w:r>
        <w:r w:rsidR="00E15396">
          <w:rPr>
            <w:b/>
            <w:bCs/>
            <w:sz w:val="24"/>
            <w:szCs w:val="24"/>
          </w:rPr>
          <w:fldChar w:fldCharType="separate"/>
        </w:r>
        <w:r w:rsidR="00003A4A">
          <w:rPr>
            <w:b/>
            <w:bCs/>
            <w:noProof/>
          </w:rPr>
          <w:t>16</w:t>
        </w:r>
        <w:r w:rsidR="00E15396">
          <w:rPr>
            <w:b/>
            <w:bCs/>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9.65pt;height:149pt" o:bullet="t">
        <v:imagedata r:id="rId1" o:title="kropa"/>
      </v:shape>
    </w:pict>
  </w:numPicBullet>
  <w:abstractNum w:abstractNumId="0">
    <w:nsid w:val="00E03535"/>
    <w:multiLevelType w:val="hybridMultilevel"/>
    <w:tmpl w:val="0CC067EA"/>
    <w:lvl w:ilvl="0" w:tplc="E23C9B4A">
      <w:start w:val="1"/>
      <w:numFmt w:val="lowerLetter"/>
      <w:lvlText w:val="%1)"/>
      <w:lvlJc w:val="left"/>
      <w:pPr>
        <w:ind w:left="1070" w:hanging="360"/>
      </w:pPr>
      <w:rPr>
        <w:rFonts w:hint="default"/>
        <w:b w:val="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1">
    <w:nsid w:val="0C5A7772"/>
    <w:multiLevelType w:val="hybridMultilevel"/>
    <w:tmpl w:val="6894910A"/>
    <w:lvl w:ilvl="0" w:tplc="0BF0410C">
      <w:start w:val="1"/>
      <w:numFmt w:val="decimal"/>
      <w:lvlText w:val="%1."/>
      <w:lvlJc w:val="left"/>
      <w:pPr>
        <w:ind w:left="1495" w:hanging="360"/>
      </w:pPr>
      <w:rPr>
        <w:rFonts w:ascii="Times New Roman" w:hAnsi="Times New Roman" w:cs="Times New Roman" w:hint="default"/>
        <w:i w:val="0"/>
        <w:color w:val="365F91" w:themeColor="accent1" w:themeShade="BF"/>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C81739A"/>
    <w:multiLevelType w:val="hybridMultilevel"/>
    <w:tmpl w:val="6ABC32FA"/>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3">
    <w:nsid w:val="0D994768"/>
    <w:multiLevelType w:val="hybridMultilevel"/>
    <w:tmpl w:val="459C04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F8A4AC3"/>
    <w:multiLevelType w:val="hybridMultilevel"/>
    <w:tmpl w:val="BB80990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nsid w:val="134E5C78"/>
    <w:multiLevelType w:val="hybridMultilevel"/>
    <w:tmpl w:val="7A324FF2"/>
    <w:lvl w:ilvl="0" w:tplc="F0E4F1FC">
      <w:start w:val="1"/>
      <w:numFmt w:val="bullet"/>
      <w:lvlText w:val=""/>
      <w:lvlPicBulletId w:val="0"/>
      <w:lvlJc w:val="left"/>
      <w:pPr>
        <w:ind w:left="2160" w:hanging="360"/>
      </w:pPr>
      <w:rPr>
        <w:rFonts w:ascii="Symbol" w:hAnsi="Symbol" w:hint="default"/>
        <w:b w:val="0"/>
        <w:i w:val="0"/>
        <w:color w:val="auto"/>
        <w:sz w:val="20"/>
        <w:szCs w:val="24"/>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6">
    <w:nsid w:val="16BE1AFC"/>
    <w:multiLevelType w:val="hybridMultilevel"/>
    <w:tmpl w:val="AE4C0920"/>
    <w:lvl w:ilvl="0" w:tplc="56FEDD28">
      <w:start w:val="1"/>
      <w:numFmt w:val="decimal"/>
      <w:lvlText w:val="%1."/>
      <w:lvlJc w:val="right"/>
      <w:pPr>
        <w:ind w:left="1506" w:hanging="720"/>
      </w:pPr>
      <w:rPr>
        <w:rFonts w:hint="default"/>
        <w:b/>
        <w:color w:val="365F91" w:themeColor="accent1" w:themeShade="BF"/>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AE031CA"/>
    <w:multiLevelType w:val="hybridMultilevel"/>
    <w:tmpl w:val="7542E71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AF60E85"/>
    <w:multiLevelType w:val="hybridMultilevel"/>
    <w:tmpl w:val="56E88798"/>
    <w:lvl w:ilvl="0" w:tplc="4F725D8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
    <w:nsid w:val="1B7F10CC"/>
    <w:multiLevelType w:val="hybridMultilevel"/>
    <w:tmpl w:val="27067952"/>
    <w:lvl w:ilvl="0" w:tplc="CD6C50F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C605751"/>
    <w:multiLevelType w:val="hybridMultilevel"/>
    <w:tmpl w:val="2EB8D64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F3208B3"/>
    <w:multiLevelType w:val="hybridMultilevel"/>
    <w:tmpl w:val="E19EE5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4AF0C62"/>
    <w:multiLevelType w:val="hybridMultilevel"/>
    <w:tmpl w:val="F6FE23B2"/>
    <w:lvl w:ilvl="0" w:tplc="F0E4F1FC">
      <w:start w:val="1"/>
      <w:numFmt w:val="bullet"/>
      <w:lvlText w:val=""/>
      <w:lvlPicBulletId w:val="0"/>
      <w:lvlJc w:val="left"/>
      <w:pPr>
        <w:ind w:left="780" w:hanging="360"/>
      </w:pPr>
      <w:rPr>
        <w:rFonts w:ascii="Symbol" w:hAnsi="Symbol" w:hint="default"/>
        <w:b w:val="0"/>
        <w:i w:val="0"/>
        <w:color w:val="auto"/>
        <w:sz w:val="20"/>
        <w:szCs w:val="24"/>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13">
    <w:nsid w:val="24E110B1"/>
    <w:multiLevelType w:val="hybridMultilevel"/>
    <w:tmpl w:val="893C22AC"/>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4">
    <w:nsid w:val="25AC6AEB"/>
    <w:multiLevelType w:val="hybridMultilevel"/>
    <w:tmpl w:val="51E633E6"/>
    <w:lvl w:ilvl="0" w:tplc="5F84DDB4">
      <w:start w:val="1"/>
      <w:numFmt w:val="decimal"/>
      <w:lvlText w:val="%1."/>
      <w:lvlJc w:val="left"/>
      <w:pPr>
        <w:ind w:left="785" w:hanging="360"/>
      </w:pPr>
      <w:rPr>
        <w:rFonts w:hint="default"/>
        <w:color w:val="auto"/>
      </w:rPr>
    </w:lvl>
    <w:lvl w:ilvl="1" w:tplc="04150019" w:tentative="1">
      <w:start w:val="1"/>
      <w:numFmt w:val="lowerLetter"/>
      <w:lvlText w:val="%2."/>
      <w:lvlJc w:val="left"/>
      <w:pPr>
        <w:ind w:left="1191" w:hanging="360"/>
      </w:pPr>
    </w:lvl>
    <w:lvl w:ilvl="2" w:tplc="0415001B" w:tentative="1">
      <w:start w:val="1"/>
      <w:numFmt w:val="lowerRoman"/>
      <w:lvlText w:val="%3."/>
      <w:lvlJc w:val="right"/>
      <w:pPr>
        <w:ind w:left="1911" w:hanging="180"/>
      </w:pPr>
    </w:lvl>
    <w:lvl w:ilvl="3" w:tplc="0415000F" w:tentative="1">
      <w:start w:val="1"/>
      <w:numFmt w:val="decimal"/>
      <w:lvlText w:val="%4."/>
      <w:lvlJc w:val="left"/>
      <w:pPr>
        <w:ind w:left="2631" w:hanging="360"/>
      </w:pPr>
    </w:lvl>
    <w:lvl w:ilvl="4" w:tplc="04150019" w:tentative="1">
      <w:start w:val="1"/>
      <w:numFmt w:val="lowerLetter"/>
      <w:lvlText w:val="%5."/>
      <w:lvlJc w:val="left"/>
      <w:pPr>
        <w:ind w:left="3351" w:hanging="360"/>
      </w:pPr>
    </w:lvl>
    <w:lvl w:ilvl="5" w:tplc="0415001B" w:tentative="1">
      <w:start w:val="1"/>
      <w:numFmt w:val="lowerRoman"/>
      <w:lvlText w:val="%6."/>
      <w:lvlJc w:val="right"/>
      <w:pPr>
        <w:ind w:left="4071" w:hanging="180"/>
      </w:pPr>
    </w:lvl>
    <w:lvl w:ilvl="6" w:tplc="0415000F" w:tentative="1">
      <w:start w:val="1"/>
      <w:numFmt w:val="decimal"/>
      <w:lvlText w:val="%7."/>
      <w:lvlJc w:val="left"/>
      <w:pPr>
        <w:ind w:left="4791" w:hanging="360"/>
      </w:pPr>
    </w:lvl>
    <w:lvl w:ilvl="7" w:tplc="04150019" w:tentative="1">
      <w:start w:val="1"/>
      <w:numFmt w:val="lowerLetter"/>
      <w:lvlText w:val="%8."/>
      <w:lvlJc w:val="left"/>
      <w:pPr>
        <w:ind w:left="5511" w:hanging="360"/>
      </w:pPr>
    </w:lvl>
    <w:lvl w:ilvl="8" w:tplc="0415001B" w:tentative="1">
      <w:start w:val="1"/>
      <w:numFmt w:val="lowerRoman"/>
      <w:lvlText w:val="%9."/>
      <w:lvlJc w:val="right"/>
      <w:pPr>
        <w:ind w:left="6231" w:hanging="180"/>
      </w:pPr>
    </w:lvl>
  </w:abstractNum>
  <w:abstractNum w:abstractNumId="15">
    <w:nsid w:val="26525466"/>
    <w:multiLevelType w:val="hybridMultilevel"/>
    <w:tmpl w:val="1AB29AB0"/>
    <w:lvl w:ilvl="0" w:tplc="24B6D96A">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F5D3D9C"/>
    <w:multiLevelType w:val="hybridMultilevel"/>
    <w:tmpl w:val="82B61290"/>
    <w:lvl w:ilvl="0" w:tplc="04150001">
      <w:start w:val="1"/>
      <w:numFmt w:val="bullet"/>
      <w:lvlText w:val=""/>
      <w:lvlJc w:val="left"/>
      <w:pPr>
        <w:ind w:left="768" w:hanging="360"/>
      </w:pPr>
      <w:rPr>
        <w:rFonts w:ascii="Symbol" w:hAnsi="Symbol" w:hint="default"/>
      </w:rPr>
    </w:lvl>
    <w:lvl w:ilvl="1" w:tplc="04150003" w:tentative="1">
      <w:start w:val="1"/>
      <w:numFmt w:val="bullet"/>
      <w:lvlText w:val="o"/>
      <w:lvlJc w:val="left"/>
      <w:pPr>
        <w:ind w:left="1488" w:hanging="360"/>
      </w:pPr>
      <w:rPr>
        <w:rFonts w:ascii="Courier New" w:hAnsi="Courier New" w:cs="Courier New" w:hint="default"/>
      </w:rPr>
    </w:lvl>
    <w:lvl w:ilvl="2" w:tplc="04150005" w:tentative="1">
      <w:start w:val="1"/>
      <w:numFmt w:val="bullet"/>
      <w:lvlText w:val=""/>
      <w:lvlJc w:val="left"/>
      <w:pPr>
        <w:ind w:left="2208" w:hanging="360"/>
      </w:pPr>
      <w:rPr>
        <w:rFonts w:ascii="Wingdings" w:hAnsi="Wingdings" w:hint="default"/>
      </w:rPr>
    </w:lvl>
    <w:lvl w:ilvl="3" w:tplc="04150001" w:tentative="1">
      <w:start w:val="1"/>
      <w:numFmt w:val="bullet"/>
      <w:lvlText w:val=""/>
      <w:lvlJc w:val="left"/>
      <w:pPr>
        <w:ind w:left="2928" w:hanging="360"/>
      </w:pPr>
      <w:rPr>
        <w:rFonts w:ascii="Symbol" w:hAnsi="Symbol" w:hint="default"/>
      </w:rPr>
    </w:lvl>
    <w:lvl w:ilvl="4" w:tplc="04150003" w:tentative="1">
      <w:start w:val="1"/>
      <w:numFmt w:val="bullet"/>
      <w:lvlText w:val="o"/>
      <w:lvlJc w:val="left"/>
      <w:pPr>
        <w:ind w:left="3648" w:hanging="360"/>
      </w:pPr>
      <w:rPr>
        <w:rFonts w:ascii="Courier New" w:hAnsi="Courier New" w:cs="Courier New" w:hint="default"/>
      </w:rPr>
    </w:lvl>
    <w:lvl w:ilvl="5" w:tplc="04150005" w:tentative="1">
      <w:start w:val="1"/>
      <w:numFmt w:val="bullet"/>
      <w:lvlText w:val=""/>
      <w:lvlJc w:val="left"/>
      <w:pPr>
        <w:ind w:left="4368" w:hanging="360"/>
      </w:pPr>
      <w:rPr>
        <w:rFonts w:ascii="Wingdings" w:hAnsi="Wingdings" w:hint="default"/>
      </w:rPr>
    </w:lvl>
    <w:lvl w:ilvl="6" w:tplc="04150001" w:tentative="1">
      <w:start w:val="1"/>
      <w:numFmt w:val="bullet"/>
      <w:lvlText w:val=""/>
      <w:lvlJc w:val="left"/>
      <w:pPr>
        <w:ind w:left="5088" w:hanging="360"/>
      </w:pPr>
      <w:rPr>
        <w:rFonts w:ascii="Symbol" w:hAnsi="Symbol" w:hint="default"/>
      </w:rPr>
    </w:lvl>
    <w:lvl w:ilvl="7" w:tplc="04150003" w:tentative="1">
      <w:start w:val="1"/>
      <w:numFmt w:val="bullet"/>
      <w:lvlText w:val="o"/>
      <w:lvlJc w:val="left"/>
      <w:pPr>
        <w:ind w:left="5808" w:hanging="360"/>
      </w:pPr>
      <w:rPr>
        <w:rFonts w:ascii="Courier New" w:hAnsi="Courier New" w:cs="Courier New" w:hint="default"/>
      </w:rPr>
    </w:lvl>
    <w:lvl w:ilvl="8" w:tplc="04150005" w:tentative="1">
      <w:start w:val="1"/>
      <w:numFmt w:val="bullet"/>
      <w:lvlText w:val=""/>
      <w:lvlJc w:val="left"/>
      <w:pPr>
        <w:ind w:left="6528" w:hanging="360"/>
      </w:pPr>
      <w:rPr>
        <w:rFonts w:ascii="Wingdings" w:hAnsi="Wingdings" w:hint="default"/>
      </w:rPr>
    </w:lvl>
  </w:abstractNum>
  <w:abstractNum w:abstractNumId="17">
    <w:nsid w:val="3065572D"/>
    <w:multiLevelType w:val="hybridMultilevel"/>
    <w:tmpl w:val="D200ED38"/>
    <w:lvl w:ilvl="0" w:tplc="3544E5B0">
      <w:start w:val="1"/>
      <w:numFmt w:val="upperRoman"/>
      <w:lvlText w:val="%1."/>
      <w:lvlJc w:val="right"/>
      <w:pPr>
        <w:ind w:left="1146" w:hanging="360"/>
      </w:pPr>
      <w:rPr>
        <w:b/>
        <w:color w:val="365F91" w:themeColor="accent1" w:themeShade="BF"/>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BF0410C">
      <w:start w:val="1"/>
      <w:numFmt w:val="decimal"/>
      <w:lvlText w:val="%7."/>
      <w:lvlJc w:val="left"/>
      <w:pPr>
        <w:ind w:left="5466" w:hanging="360"/>
      </w:pPr>
      <w:rPr>
        <w:rFonts w:ascii="Times New Roman" w:hAnsi="Times New Roman" w:cs="Times New Roman" w:hint="default"/>
        <w:i w:val="0"/>
        <w:color w:val="365F91" w:themeColor="accent1" w:themeShade="BF"/>
        <w:sz w:val="24"/>
        <w:szCs w:val="24"/>
      </w:r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nsid w:val="32D83353"/>
    <w:multiLevelType w:val="hybridMultilevel"/>
    <w:tmpl w:val="9140EA70"/>
    <w:lvl w:ilvl="0" w:tplc="BDE203F8">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9">
    <w:nsid w:val="34C40B74"/>
    <w:multiLevelType w:val="hybridMultilevel"/>
    <w:tmpl w:val="28EEA450"/>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0">
    <w:nsid w:val="34F27019"/>
    <w:multiLevelType w:val="hybridMultilevel"/>
    <w:tmpl w:val="D200ED38"/>
    <w:lvl w:ilvl="0" w:tplc="3544E5B0">
      <w:start w:val="1"/>
      <w:numFmt w:val="upperRoman"/>
      <w:lvlText w:val="%1."/>
      <w:lvlJc w:val="right"/>
      <w:pPr>
        <w:ind w:left="1146" w:hanging="360"/>
      </w:pPr>
      <w:rPr>
        <w:b/>
        <w:color w:val="365F91" w:themeColor="accent1" w:themeShade="BF"/>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BF0410C">
      <w:start w:val="1"/>
      <w:numFmt w:val="decimal"/>
      <w:lvlText w:val="%7."/>
      <w:lvlJc w:val="left"/>
      <w:pPr>
        <w:ind w:left="5466" w:hanging="360"/>
      </w:pPr>
      <w:rPr>
        <w:rFonts w:ascii="Times New Roman" w:hAnsi="Times New Roman" w:cs="Times New Roman" w:hint="default"/>
        <w:i w:val="0"/>
        <w:color w:val="365F91" w:themeColor="accent1" w:themeShade="BF"/>
        <w:sz w:val="24"/>
        <w:szCs w:val="24"/>
      </w:r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1">
    <w:nsid w:val="3705702C"/>
    <w:multiLevelType w:val="hybridMultilevel"/>
    <w:tmpl w:val="49C69AA2"/>
    <w:lvl w:ilvl="0" w:tplc="0BF0410C">
      <w:start w:val="1"/>
      <w:numFmt w:val="decimal"/>
      <w:lvlText w:val="%1."/>
      <w:lvlJc w:val="left"/>
      <w:pPr>
        <w:ind w:left="1495" w:hanging="360"/>
      </w:pPr>
      <w:rPr>
        <w:rFonts w:ascii="Times New Roman" w:hAnsi="Times New Roman" w:cs="Times New Roman" w:hint="default"/>
        <w:i w:val="0"/>
        <w:color w:val="365F91" w:themeColor="accent1" w:themeShade="BF"/>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9176A76"/>
    <w:multiLevelType w:val="hybridMultilevel"/>
    <w:tmpl w:val="56125240"/>
    <w:lvl w:ilvl="0" w:tplc="F84E5826">
      <w:start w:val="1"/>
      <w:numFmt w:val="lowerLetter"/>
      <w:lvlText w:val="%1)"/>
      <w:lvlJc w:val="left"/>
      <w:pPr>
        <w:ind w:left="1080" w:hanging="360"/>
      </w:pPr>
      <w:rPr>
        <w:rFonts w:hint="default"/>
      </w:rPr>
    </w:lvl>
    <w:lvl w:ilvl="1" w:tplc="C4E4D712">
      <w:start w:val="1"/>
      <w:numFmt w:val="decimal"/>
      <w:lvlText w:val="%2."/>
      <w:lvlJc w:val="left"/>
      <w:pPr>
        <w:ind w:left="1800" w:hanging="360"/>
      </w:pPr>
      <w:rPr>
        <w:rFonts w:hint="default"/>
      </w:r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3FAC7D34"/>
    <w:multiLevelType w:val="hybridMultilevel"/>
    <w:tmpl w:val="D200ED38"/>
    <w:lvl w:ilvl="0" w:tplc="3544E5B0">
      <w:start w:val="1"/>
      <w:numFmt w:val="upperRoman"/>
      <w:lvlText w:val="%1."/>
      <w:lvlJc w:val="right"/>
      <w:pPr>
        <w:ind w:left="1146" w:hanging="360"/>
      </w:pPr>
      <w:rPr>
        <w:b/>
        <w:color w:val="365F91" w:themeColor="accent1" w:themeShade="BF"/>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BF0410C">
      <w:start w:val="1"/>
      <w:numFmt w:val="decimal"/>
      <w:lvlText w:val="%7."/>
      <w:lvlJc w:val="left"/>
      <w:pPr>
        <w:ind w:left="5466" w:hanging="360"/>
      </w:pPr>
      <w:rPr>
        <w:rFonts w:ascii="Times New Roman" w:hAnsi="Times New Roman" w:cs="Times New Roman" w:hint="default"/>
        <w:i w:val="0"/>
        <w:color w:val="365F91" w:themeColor="accent1" w:themeShade="BF"/>
        <w:sz w:val="24"/>
        <w:szCs w:val="24"/>
      </w:r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nsid w:val="420A2BE5"/>
    <w:multiLevelType w:val="hybridMultilevel"/>
    <w:tmpl w:val="70CA7072"/>
    <w:lvl w:ilvl="0" w:tplc="3544E5B0">
      <w:start w:val="1"/>
      <w:numFmt w:val="upperRoman"/>
      <w:lvlText w:val="%1."/>
      <w:lvlJc w:val="right"/>
      <w:pPr>
        <w:ind w:left="786" w:hanging="360"/>
      </w:pPr>
      <w:rPr>
        <w:b/>
        <w:color w:val="365F91" w:themeColor="accent1" w:themeShade="BF"/>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5F9C5358">
      <w:start w:val="1"/>
      <w:numFmt w:val="decimal"/>
      <w:lvlText w:val="%7."/>
      <w:lvlJc w:val="left"/>
      <w:pPr>
        <w:ind w:left="1135" w:hanging="360"/>
      </w:pPr>
      <w:rPr>
        <w:rFonts w:ascii="Times New Roman" w:hAnsi="Times New Roman" w:cs="Times New Roman" w:hint="default"/>
        <w:b/>
        <w:i w:val="0"/>
        <w:color w:val="365F91" w:themeColor="accent1" w:themeShade="BF"/>
        <w:sz w:val="20"/>
        <w:szCs w:val="20"/>
      </w:r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5">
    <w:nsid w:val="42125F4B"/>
    <w:multiLevelType w:val="hybridMultilevel"/>
    <w:tmpl w:val="3D266616"/>
    <w:lvl w:ilvl="0" w:tplc="04150013">
      <w:start w:val="1"/>
      <w:numFmt w:val="upperRoman"/>
      <w:lvlText w:val="%1."/>
      <w:lvlJc w:val="right"/>
      <w:pPr>
        <w:ind w:left="1211" w:hanging="360"/>
      </w:p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26">
    <w:nsid w:val="4A1E1314"/>
    <w:multiLevelType w:val="hybridMultilevel"/>
    <w:tmpl w:val="4E9ABF8A"/>
    <w:lvl w:ilvl="0" w:tplc="04150001">
      <w:start w:val="1"/>
      <w:numFmt w:val="bullet"/>
      <w:lvlText w:val=""/>
      <w:lvlJc w:val="left"/>
      <w:pPr>
        <w:ind w:left="1895" w:hanging="360"/>
      </w:pPr>
      <w:rPr>
        <w:rFonts w:ascii="Symbol" w:hAnsi="Symbol" w:hint="default"/>
      </w:rPr>
    </w:lvl>
    <w:lvl w:ilvl="1" w:tplc="04150003" w:tentative="1">
      <w:start w:val="1"/>
      <w:numFmt w:val="bullet"/>
      <w:lvlText w:val="o"/>
      <w:lvlJc w:val="left"/>
      <w:pPr>
        <w:ind w:left="2615" w:hanging="360"/>
      </w:pPr>
      <w:rPr>
        <w:rFonts w:ascii="Courier New" w:hAnsi="Courier New" w:cs="Courier New" w:hint="default"/>
      </w:rPr>
    </w:lvl>
    <w:lvl w:ilvl="2" w:tplc="04150005" w:tentative="1">
      <w:start w:val="1"/>
      <w:numFmt w:val="bullet"/>
      <w:lvlText w:val=""/>
      <w:lvlJc w:val="left"/>
      <w:pPr>
        <w:ind w:left="3335" w:hanging="360"/>
      </w:pPr>
      <w:rPr>
        <w:rFonts w:ascii="Wingdings" w:hAnsi="Wingdings" w:hint="default"/>
      </w:rPr>
    </w:lvl>
    <w:lvl w:ilvl="3" w:tplc="04150001" w:tentative="1">
      <w:start w:val="1"/>
      <w:numFmt w:val="bullet"/>
      <w:lvlText w:val=""/>
      <w:lvlJc w:val="left"/>
      <w:pPr>
        <w:ind w:left="4055" w:hanging="360"/>
      </w:pPr>
      <w:rPr>
        <w:rFonts w:ascii="Symbol" w:hAnsi="Symbol" w:hint="default"/>
      </w:rPr>
    </w:lvl>
    <w:lvl w:ilvl="4" w:tplc="04150003" w:tentative="1">
      <w:start w:val="1"/>
      <w:numFmt w:val="bullet"/>
      <w:lvlText w:val="o"/>
      <w:lvlJc w:val="left"/>
      <w:pPr>
        <w:ind w:left="4775" w:hanging="360"/>
      </w:pPr>
      <w:rPr>
        <w:rFonts w:ascii="Courier New" w:hAnsi="Courier New" w:cs="Courier New" w:hint="default"/>
      </w:rPr>
    </w:lvl>
    <w:lvl w:ilvl="5" w:tplc="04150005" w:tentative="1">
      <w:start w:val="1"/>
      <w:numFmt w:val="bullet"/>
      <w:lvlText w:val=""/>
      <w:lvlJc w:val="left"/>
      <w:pPr>
        <w:ind w:left="5495" w:hanging="360"/>
      </w:pPr>
      <w:rPr>
        <w:rFonts w:ascii="Wingdings" w:hAnsi="Wingdings" w:hint="default"/>
      </w:rPr>
    </w:lvl>
    <w:lvl w:ilvl="6" w:tplc="04150001" w:tentative="1">
      <w:start w:val="1"/>
      <w:numFmt w:val="bullet"/>
      <w:lvlText w:val=""/>
      <w:lvlJc w:val="left"/>
      <w:pPr>
        <w:ind w:left="6215" w:hanging="360"/>
      </w:pPr>
      <w:rPr>
        <w:rFonts w:ascii="Symbol" w:hAnsi="Symbol" w:hint="default"/>
      </w:rPr>
    </w:lvl>
    <w:lvl w:ilvl="7" w:tplc="04150003" w:tentative="1">
      <w:start w:val="1"/>
      <w:numFmt w:val="bullet"/>
      <w:lvlText w:val="o"/>
      <w:lvlJc w:val="left"/>
      <w:pPr>
        <w:ind w:left="6935" w:hanging="360"/>
      </w:pPr>
      <w:rPr>
        <w:rFonts w:ascii="Courier New" w:hAnsi="Courier New" w:cs="Courier New" w:hint="default"/>
      </w:rPr>
    </w:lvl>
    <w:lvl w:ilvl="8" w:tplc="04150005" w:tentative="1">
      <w:start w:val="1"/>
      <w:numFmt w:val="bullet"/>
      <w:lvlText w:val=""/>
      <w:lvlJc w:val="left"/>
      <w:pPr>
        <w:ind w:left="7655" w:hanging="360"/>
      </w:pPr>
      <w:rPr>
        <w:rFonts w:ascii="Wingdings" w:hAnsi="Wingdings" w:hint="default"/>
      </w:rPr>
    </w:lvl>
  </w:abstractNum>
  <w:abstractNum w:abstractNumId="27">
    <w:nsid w:val="4B5E26AA"/>
    <w:multiLevelType w:val="hybridMultilevel"/>
    <w:tmpl w:val="C1C06EFC"/>
    <w:lvl w:ilvl="0" w:tplc="6AF2235C">
      <w:start w:val="1"/>
      <w:numFmt w:val="decimal"/>
      <w:lvlText w:val="%1."/>
      <w:lvlJc w:val="left"/>
      <w:pPr>
        <w:ind w:left="1068" w:hanging="360"/>
      </w:pPr>
      <w:rPr>
        <w:rFonts w:ascii="Times New Roman" w:hAnsi="Times New Roman" w:hint="default"/>
        <w:i w:val="0"/>
        <w:color w:val="365F91" w:themeColor="accent1" w:themeShade="BF"/>
        <w:sz w:val="24"/>
        <w:u w:val="none"/>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8">
    <w:nsid w:val="4DA756DF"/>
    <w:multiLevelType w:val="hybridMultilevel"/>
    <w:tmpl w:val="F3080E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nsid w:val="4E5A22F5"/>
    <w:multiLevelType w:val="hybridMultilevel"/>
    <w:tmpl w:val="A274A694"/>
    <w:lvl w:ilvl="0" w:tplc="F0E4F1FC">
      <w:start w:val="1"/>
      <w:numFmt w:val="bullet"/>
      <w:lvlText w:val=""/>
      <w:lvlPicBulletId w:val="0"/>
      <w:lvlJc w:val="left"/>
      <w:pPr>
        <w:ind w:left="1895" w:hanging="360"/>
      </w:pPr>
      <w:rPr>
        <w:rFonts w:ascii="Symbol" w:hAnsi="Symbol" w:hint="default"/>
        <w:b w:val="0"/>
        <w:i w:val="0"/>
        <w:color w:val="auto"/>
        <w:sz w:val="20"/>
        <w:szCs w:val="24"/>
      </w:rPr>
    </w:lvl>
    <w:lvl w:ilvl="1" w:tplc="04150003" w:tentative="1">
      <w:start w:val="1"/>
      <w:numFmt w:val="bullet"/>
      <w:lvlText w:val="o"/>
      <w:lvlJc w:val="left"/>
      <w:pPr>
        <w:ind w:left="2615" w:hanging="360"/>
      </w:pPr>
      <w:rPr>
        <w:rFonts w:ascii="Courier New" w:hAnsi="Courier New" w:cs="Courier New" w:hint="default"/>
      </w:rPr>
    </w:lvl>
    <w:lvl w:ilvl="2" w:tplc="04150005" w:tentative="1">
      <w:start w:val="1"/>
      <w:numFmt w:val="bullet"/>
      <w:lvlText w:val=""/>
      <w:lvlJc w:val="left"/>
      <w:pPr>
        <w:ind w:left="3335" w:hanging="360"/>
      </w:pPr>
      <w:rPr>
        <w:rFonts w:ascii="Wingdings" w:hAnsi="Wingdings" w:hint="default"/>
      </w:rPr>
    </w:lvl>
    <w:lvl w:ilvl="3" w:tplc="04150001" w:tentative="1">
      <w:start w:val="1"/>
      <w:numFmt w:val="bullet"/>
      <w:lvlText w:val=""/>
      <w:lvlJc w:val="left"/>
      <w:pPr>
        <w:ind w:left="4055" w:hanging="360"/>
      </w:pPr>
      <w:rPr>
        <w:rFonts w:ascii="Symbol" w:hAnsi="Symbol" w:hint="default"/>
      </w:rPr>
    </w:lvl>
    <w:lvl w:ilvl="4" w:tplc="04150003" w:tentative="1">
      <w:start w:val="1"/>
      <w:numFmt w:val="bullet"/>
      <w:lvlText w:val="o"/>
      <w:lvlJc w:val="left"/>
      <w:pPr>
        <w:ind w:left="4775" w:hanging="360"/>
      </w:pPr>
      <w:rPr>
        <w:rFonts w:ascii="Courier New" w:hAnsi="Courier New" w:cs="Courier New" w:hint="default"/>
      </w:rPr>
    </w:lvl>
    <w:lvl w:ilvl="5" w:tplc="04150005" w:tentative="1">
      <w:start w:val="1"/>
      <w:numFmt w:val="bullet"/>
      <w:lvlText w:val=""/>
      <w:lvlJc w:val="left"/>
      <w:pPr>
        <w:ind w:left="5495" w:hanging="360"/>
      </w:pPr>
      <w:rPr>
        <w:rFonts w:ascii="Wingdings" w:hAnsi="Wingdings" w:hint="default"/>
      </w:rPr>
    </w:lvl>
    <w:lvl w:ilvl="6" w:tplc="04150001" w:tentative="1">
      <w:start w:val="1"/>
      <w:numFmt w:val="bullet"/>
      <w:lvlText w:val=""/>
      <w:lvlJc w:val="left"/>
      <w:pPr>
        <w:ind w:left="6215" w:hanging="360"/>
      </w:pPr>
      <w:rPr>
        <w:rFonts w:ascii="Symbol" w:hAnsi="Symbol" w:hint="default"/>
      </w:rPr>
    </w:lvl>
    <w:lvl w:ilvl="7" w:tplc="04150003" w:tentative="1">
      <w:start w:val="1"/>
      <w:numFmt w:val="bullet"/>
      <w:lvlText w:val="o"/>
      <w:lvlJc w:val="left"/>
      <w:pPr>
        <w:ind w:left="6935" w:hanging="360"/>
      </w:pPr>
      <w:rPr>
        <w:rFonts w:ascii="Courier New" w:hAnsi="Courier New" w:cs="Courier New" w:hint="default"/>
      </w:rPr>
    </w:lvl>
    <w:lvl w:ilvl="8" w:tplc="04150005" w:tentative="1">
      <w:start w:val="1"/>
      <w:numFmt w:val="bullet"/>
      <w:lvlText w:val=""/>
      <w:lvlJc w:val="left"/>
      <w:pPr>
        <w:ind w:left="7655" w:hanging="360"/>
      </w:pPr>
      <w:rPr>
        <w:rFonts w:ascii="Wingdings" w:hAnsi="Wingdings" w:hint="default"/>
      </w:rPr>
    </w:lvl>
  </w:abstractNum>
  <w:abstractNum w:abstractNumId="30">
    <w:nsid w:val="5609622A"/>
    <w:multiLevelType w:val="hybridMultilevel"/>
    <w:tmpl w:val="804A2696"/>
    <w:lvl w:ilvl="0" w:tplc="F0E4F1FC">
      <w:start w:val="1"/>
      <w:numFmt w:val="bullet"/>
      <w:lvlText w:val=""/>
      <w:lvlPicBulletId w:val="0"/>
      <w:lvlJc w:val="left"/>
      <w:pPr>
        <w:ind w:left="1928" w:hanging="128"/>
      </w:pPr>
      <w:rPr>
        <w:rFonts w:ascii="Symbol" w:hAnsi="Symbol" w:hint="default"/>
        <w:b w:val="0"/>
        <w:i w:val="0"/>
        <w:color w:val="auto"/>
        <w:sz w:val="20"/>
        <w:szCs w:val="24"/>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31">
    <w:nsid w:val="58AB5F81"/>
    <w:multiLevelType w:val="hybridMultilevel"/>
    <w:tmpl w:val="69C409DC"/>
    <w:lvl w:ilvl="0" w:tplc="411C2FE2">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2">
    <w:nsid w:val="5DC63695"/>
    <w:multiLevelType w:val="hybridMultilevel"/>
    <w:tmpl w:val="539E5A36"/>
    <w:lvl w:ilvl="0" w:tplc="F0E4F1FC">
      <w:start w:val="1"/>
      <w:numFmt w:val="bullet"/>
      <w:lvlText w:val=""/>
      <w:lvlPicBulletId w:val="0"/>
      <w:lvlJc w:val="left"/>
      <w:pPr>
        <w:tabs>
          <w:tab w:val="num" w:pos="720"/>
        </w:tabs>
        <w:ind w:left="720" w:hanging="360"/>
      </w:pPr>
      <w:rPr>
        <w:rFonts w:ascii="Symbol" w:hAnsi="Symbol" w:hint="default"/>
        <w:b w:val="0"/>
        <w:i w:val="0"/>
        <w:color w:val="auto"/>
        <w:sz w:val="20"/>
        <w:szCs w:val="24"/>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3">
    <w:nsid w:val="5FB856C3"/>
    <w:multiLevelType w:val="hybridMultilevel"/>
    <w:tmpl w:val="EB3C0CA4"/>
    <w:lvl w:ilvl="0" w:tplc="EE5CFE5C">
      <w:start w:val="4"/>
      <w:numFmt w:val="upperRoman"/>
      <w:lvlText w:val="%1."/>
      <w:lvlJc w:val="left"/>
      <w:pPr>
        <w:ind w:left="1506" w:hanging="720"/>
      </w:pPr>
      <w:rPr>
        <w:rFonts w:hint="default"/>
        <w:b/>
        <w:color w:val="365F91" w:themeColor="accent1" w:themeShade="BF"/>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5F80069A">
      <w:start w:val="1"/>
      <w:numFmt w:val="decimal"/>
      <w:lvlText w:val="%7."/>
      <w:lvlJc w:val="left"/>
      <w:pPr>
        <w:ind w:left="5466" w:hanging="360"/>
      </w:pPr>
      <w:rPr>
        <w:rFonts w:hint="default"/>
      </w:r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nsid w:val="602D7C1E"/>
    <w:multiLevelType w:val="hybridMultilevel"/>
    <w:tmpl w:val="A5B6CA9C"/>
    <w:lvl w:ilvl="0" w:tplc="F0E4F1FC">
      <w:start w:val="1"/>
      <w:numFmt w:val="bullet"/>
      <w:lvlText w:val=""/>
      <w:lvlPicBulletId w:val="0"/>
      <w:lvlJc w:val="left"/>
      <w:pPr>
        <w:ind w:left="780" w:hanging="360"/>
      </w:pPr>
      <w:rPr>
        <w:rFonts w:ascii="Symbol" w:hAnsi="Symbol" w:hint="default"/>
        <w:b w:val="0"/>
        <w:i w:val="0"/>
        <w:color w:val="auto"/>
        <w:sz w:val="20"/>
        <w:szCs w:val="24"/>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35">
    <w:nsid w:val="61E54F99"/>
    <w:multiLevelType w:val="hybridMultilevel"/>
    <w:tmpl w:val="9EC68582"/>
    <w:lvl w:ilvl="0" w:tplc="0415000F">
      <w:start w:val="1"/>
      <w:numFmt w:val="decimal"/>
      <w:lvlText w:val="%1."/>
      <w:lvlJc w:val="left"/>
      <w:pPr>
        <w:ind w:left="1070" w:hanging="360"/>
      </w:pPr>
    </w:lvl>
    <w:lvl w:ilvl="1" w:tplc="04150001">
      <w:start w:val="1"/>
      <w:numFmt w:val="bullet"/>
      <w:lvlText w:val=""/>
      <w:lvlJc w:val="left"/>
      <w:pPr>
        <w:ind w:left="1790" w:hanging="360"/>
      </w:pPr>
      <w:rPr>
        <w:rFonts w:ascii="Symbol" w:hAnsi="Symbol" w:hint="default"/>
      </w:rPr>
    </w:lvl>
    <w:lvl w:ilvl="2" w:tplc="04150019">
      <w:start w:val="1"/>
      <w:numFmt w:val="lowerLetter"/>
      <w:lvlText w:val="%3."/>
      <w:lvlJc w:val="lef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36">
    <w:nsid w:val="649F72AF"/>
    <w:multiLevelType w:val="hybridMultilevel"/>
    <w:tmpl w:val="77126002"/>
    <w:lvl w:ilvl="0" w:tplc="D418205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6BA14B92"/>
    <w:multiLevelType w:val="hybridMultilevel"/>
    <w:tmpl w:val="AD483D6C"/>
    <w:lvl w:ilvl="0" w:tplc="F0E4F1FC">
      <w:start w:val="1"/>
      <w:numFmt w:val="bullet"/>
      <w:lvlText w:val=""/>
      <w:lvlPicBulletId w:val="0"/>
      <w:lvlJc w:val="left"/>
      <w:pPr>
        <w:ind w:left="720" w:hanging="360"/>
      </w:pPr>
      <w:rPr>
        <w:rFonts w:ascii="Symbol" w:hAnsi="Symbol" w:hint="default"/>
        <w:b w:val="0"/>
        <w:i w:val="0"/>
        <w:color w:val="auto"/>
        <w:sz w:val="20"/>
        <w:szCs w:val="24"/>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nsid w:val="6BF5613B"/>
    <w:multiLevelType w:val="hybridMultilevel"/>
    <w:tmpl w:val="B52837E4"/>
    <w:lvl w:ilvl="0" w:tplc="5F80069A">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nsid w:val="6D4D68D6"/>
    <w:multiLevelType w:val="hybridMultilevel"/>
    <w:tmpl w:val="C2B65EE0"/>
    <w:lvl w:ilvl="0" w:tplc="31E22588">
      <w:start w:val="1"/>
      <w:numFmt w:val="lowerLetter"/>
      <w:lvlText w:val="%1)"/>
      <w:lvlJc w:val="left"/>
      <w:pPr>
        <w:ind w:left="1440" w:hanging="360"/>
      </w:pPr>
      <w:rPr>
        <w:rFonts w:hint="default"/>
        <w:b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0">
    <w:nsid w:val="6EF165BF"/>
    <w:multiLevelType w:val="hybridMultilevel"/>
    <w:tmpl w:val="5E02CB24"/>
    <w:lvl w:ilvl="0" w:tplc="0BF0410C">
      <w:start w:val="1"/>
      <w:numFmt w:val="decimal"/>
      <w:lvlText w:val="%1."/>
      <w:lvlJc w:val="left"/>
      <w:pPr>
        <w:ind w:left="1495" w:hanging="360"/>
      </w:pPr>
      <w:rPr>
        <w:rFonts w:ascii="Times New Roman" w:hAnsi="Times New Roman" w:cs="Times New Roman" w:hint="default"/>
        <w:i w:val="0"/>
        <w:color w:val="365F91" w:themeColor="accent1" w:themeShade="BF"/>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735A21F6"/>
    <w:multiLevelType w:val="hybridMultilevel"/>
    <w:tmpl w:val="51E633E6"/>
    <w:lvl w:ilvl="0" w:tplc="5F84DDB4">
      <w:start w:val="1"/>
      <w:numFmt w:val="decimal"/>
      <w:lvlText w:val="%1."/>
      <w:lvlJc w:val="left"/>
      <w:pPr>
        <w:ind w:left="502" w:hanging="360"/>
      </w:pPr>
      <w:rPr>
        <w:rFonts w:hint="default"/>
        <w:color w:val="auto"/>
      </w:rPr>
    </w:lvl>
    <w:lvl w:ilvl="1" w:tplc="04150019" w:tentative="1">
      <w:start w:val="1"/>
      <w:numFmt w:val="lowerLetter"/>
      <w:lvlText w:val="%2."/>
      <w:lvlJc w:val="left"/>
      <w:pPr>
        <w:ind w:left="1191" w:hanging="360"/>
      </w:pPr>
    </w:lvl>
    <w:lvl w:ilvl="2" w:tplc="0415001B" w:tentative="1">
      <w:start w:val="1"/>
      <w:numFmt w:val="lowerRoman"/>
      <w:lvlText w:val="%3."/>
      <w:lvlJc w:val="right"/>
      <w:pPr>
        <w:ind w:left="1911" w:hanging="180"/>
      </w:pPr>
    </w:lvl>
    <w:lvl w:ilvl="3" w:tplc="0415000F" w:tentative="1">
      <w:start w:val="1"/>
      <w:numFmt w:val="decimal"/>
      <w:lvlText w:val="%4."/>
      <w:lvlJc w:val="left"/>
      <w:pPr>
        <w:ind w:left="2631" w:hanging="360"/>
      </w:pPr>
    </w:lvl>
    <w:lvl w:ilvl="4" w:tplc="04150019" w:tentative="1">
      <w:start w:val="1"/>
      <w:numFmt w:val="lowerLetter"/>
      <w:lvlText w:val="%5."/>
      <w:lvlJc w:val="left"/>
      <w:pPr>
        <w:ind w:left="3351" w:hanging="360"/>
      </w:pPr>
    </w:lvl>
    <w:lvl w:ilvl="5" w:tplc="0415001B" w:tentative="1">
      <w:start w:val="1"/>
      <w:numFmt w:val="lowerRoman"/>
      <w:lvlText w:val="%6."/>
      <w:lvlJc w:val="right"/>
      <w:pPr>
        <w:ind w:left="4071" w:hanging="180"/>
      </w:pPr>
    </w:lvl>
    <w:lvl w:ilvl="6" w:tplc="0415000F" w:tentative="1">
      <w:start w:val="1"/>
      <w:numFmt w:val="decimal"/>
      <w:lvlText w:val="%7."/>
      <w:lvlJc w:val="left"/>
      <w:pPr>
        <w:ind w:left="4791" w:hanging="360"/>
      </w:pPr>
    </w:lvl>
    <w:lvl w:ilvl="7" w:tplc="04150019" w:tentative="1">
      <w:start w:val="1"/>
      <w:numFmt w:val="lowerLetter"/>
      <w:lvlText w:val="%8."/>
      <w:lvlJc w:val="left"/>
      <w:pPr>
        <w:ind w:left="5511" w:hanging="360"/>
      </w:pPr>
    </w:lvl>
    <w:lvl w:ilvl="8" w:tplc="0415001B" w:tentative="1">
      <w:start w:val="1"/>
      <w:numFmt w:val="lowerRoman"/>
      <w:lvlText w:val="%9."/>
      <w:lvlJc w:val="right"/>
      <w:pPr>
        <w:ind w:left="6231" w:hanging="180"/>
      </w:pPr>
    </w:lvl>
  </w:abstractNum>
  <w:abstractNum w:abstractNumId="42">
    <w:nsid w:val="741A6AD5"/>
    <w:multiLevelType w:val="hybridMultilevel"/>
    <w:tmpl w:val="671AF20C"/>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43">
    <w:nsid w:val="77554563"/>
    <w:multiLevelType w:val="hybridMultilevel"/>
    <w:tmpl w:val="A52C06AC"/>
    <w:lvl w:ilvl="0" w:tplc="3544E5B0">
      <w:start w:val="1"/>
      <w:numFmt w:val="upperRoman"/>
      <w:lvlText w:val="%1."/>
      <w:lvlJc w:val="right"/>
      <w:pPr>
        <w:ind w:left="1146" w:hanging="360"/>
      </w:pPr>
      <w:rPr>
        <w:b/>
        <w:color w:val="365F91" w:themeColor="accent1" w:themeShade="BF"/>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44">
    <w:nsid w:val="7A1F5111"/>
    <w:multiLevelType w:val="hybridMultilevel"/>
    <w:tmpl w:val="9162CDDA"/>
    <w:lvl w:ilvl="0" w:tplc="C22A361A">
      <w:start w:val="1"/>
      <w:numFmt w:val="decimal"/>
      <w:lvlText w:val="%1."/>
      <w:lvlJc w:val="left"/>
      <w:pPr>
        <w:ind w:left="786" w:hanging="360"/>
      </w:pPr>
      <w:rPr>
        <w:rFonts w:hint="default"/>
        <w:b w:val="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5">
    <w:nsid w:val="7A8B0338"/>
    <w:multiLevelType w:val="hybridMultilevel"/>
    <w:tmpl w:val="5F944ABA"/>
    <w:lvl w:ilvl="0" w:tplc="1160D374">
      <w:start w:val="1"/>
      <w:numFmt w:val="decimal"/>
      <w:lvlText w:val="%1."/>
      <w:lvlJc w:val="right"/>
      <w:pPr>
        <w:ind w:left="1506" w:hanging="720"/>
      </w:pPr>
      <w:rPr>
        <w:rFonts w:hint="default"/>
        <w:b/>
        <w:color w:val="365F91" w:themeColor="accent1" w:themeShade="BF"/>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B570E1F"/>
    <w:multiLevelType w:val="hybridMultilevel"/>
    <w:tmpl w:val="4080D74E"/>
    <w:lvl w:ilvl="0" w:tplc="6BAC30B8">
      <w:start w:val="1"/>
      <w:numFmt w:val="decimal"/>
      <w:lvlText w:val="%1."/>
      <w:lvlJc w:val="left"/>
      <w:pPr>
        <w:ind w:left="2484" w:hanging="360"/>
      </w:pPr>
      <w:rPr>
        <w:rFonts w:hint="default"/>
      </w:rPr>
    </w:lvl>
    <w:lvl w:ilvl="1" w:tplc="04150019" w:tentative="1">
      <w:start w:val="1"/>
      <w:numFmt w:val="lowerLetter"/>
      <w:lvlText w:val="%2."/>
      <w:lvlJc w:val="left"/>
      <w:pPr>
        <w:ind w:left="3204" w:hanging="360"/>
      </w:pPr>
    </w:lvl>
    <w:lvl w:ilvl="2" w:tplc="0415001B" w:tentative="1">
      <w:start w:val="1"/>
      <w:numFmt w:val="lowerRoman"/>
      <w:lvlText w:val="%3."/>
      <w:lvlJc w:val="right"/>
      <w:pPr>
        <w:ind w:left="3924" w:hanging="180"/>
      </w:pPr>
    </w:lvl>
    <w:lvl w:ilvl="3" w:tplc="0415000F" w:tentative="1">
      <w:start w:val="1"/>
      <w:numFmt w:val="decimal"/>
      <w:lvlText w:val="%4."/>
      <w:lvlJc w:val="left"/>
      <w:pPr>
        <w:ind w:left="4644" w:hanging="360"/>
      </w:pPr>
    </w:lvl>
    <w:lvl w:ilvl="4" w:tplc="04150019" w:tentative="1">
      <w:start w:val="1"/>
      <w:numFmt w:val="lowerLetter"/>
      <w:lvlText w:val="%5."/>
      <w:lvlJc w:val="left"/>
      <w:pPr>
        <w:ind w:left="5364" w:hanging="360"/>
      </w:pPr>
    </w:lvl>
    <w:lvl w:ilvl="5" w:tplc="0415001B" w:tentative="1">
      <w:start w:val="1"/>
      <w:numFmt w:val="lowerRoman"/>
      <w:lvlText w:val="%6."/>
      <w:lvlJc w:val="right"/>
      <w:pPr>
        <w:ind w:left="6084" w:hanging="180"/>
      </w:pPr>
    </w:lvl>
    <w:lvl w:ilvl="6" w:tplc="0415000F" w:tentative="1">
      <w:start w:val="1"/>
      <w:numFmt w:val="decimal"/>
      <w:lvlText w:val="%7."/>
      <w:lvlJc w:val="left"/>
      <w:pPr>
        <w:ind w:left="6804" w:hanging="360"/>
      </w:pPr>
    </w:lvl>
    <w:lvl w:ilvl="7" w:tplc="04150019" w:tentative="1">
      <w:start w:val="1"/>
      <w:numFmt w:val="lowerLetter"/>
      <w:lvlText w:val="%8."/>
      <w:lvlJc w:val="left"/>
      <w:pPr>
        <w:ind w:left="7524" w:hanging="360"/>
      </w:pPr>
    </w:lvl>
    <w:lvl w:ilvl="8" w:tplc="0415001B" w:tentative="1">
      <w:start w:val="1"/>
      <w:numFmt w:val="lowerRoman"/>
      <w:lvlText w:val="%9."/>
      <w:lvlJc w:val="right"/>
      <w:pPr>
        <w:ind w:left="8244" w:hanging="180"/>
      </w:pPr>
    </w:lvl>
  </w:abstractNum>
  <w:num w:numId="1">
    <w:abstractNumId w:val="10"/>
  </w:num>
  <w:num w:numId="2">
    <w:abstractNumId w:val="25"/>
  </w:num>
  <w:num w:numId="3">
    <w:abstractNumId w:val="44"/>
  </w:num>
  <w:num w:numId="4">
    <w:abstractNumId w:val="7"/>
  </w:num>
  <w:num w:numId="5">
    <w:abstractNumId w:val="22"/>
  </w:num>
  <w:num w:numId="6">
    <w:abstractNumId w:val="8"/>
  </w:num>
  <w:num w:numId="7">
    <w:abstractNumId w:val="39"/>
  </w:num>
  <w:num w:numId="8">
    <w:abstractNumId w:val="0"/>
  </w:num>
  <w:num w:numId="9">
    <w:abstractNumId w:val="41"/>
  </w:num>
  <w:num w:numId="10">
    <w:abstractNumId w:val="13"/>
  </w:num>
  <w:num w:numId="11">
    <w:abstractNumId w:val="15"/>
  </w:num>
  <w:num w:numId="12">
    <w:abstractNumId w:val="24"/>
  </w:num>
  <w:num w:numId="13">
    <w:abstractNumId w:val="9"/>
  </w:num>
  <w:num w:numId="14">
    <w:abstractNumId w:val="3"/>
  </w:num>
  <w:num w:numId="15">
    <w:abstractNumId w:val="19"/>
  </w:num>
  <w:num w:numId="16">
    <w:abstractNumId w:val="14"/>
  </w:num>
  <w:num w:numId="17">
    <w:abstractNumId w:val="31"/>
  </w:num>
  <w:num w:numId="18">
    <w:abstractNumId w:val="43"/>
  </w:num>
  <w:num w:numId="19">
    <w:abstractNumId w:val="2"/>
  </w:num>
  <w:num w:numId="20">
    <w:abstractNumId w:val="16"/>
  </w:num>
  <w:num w:numId="21">
    <w:abstractNumId w:val="35"/>
  </w:num>
  <w:num w:numId="22">
    <w:abstractNumId w:val="11"/>
  </w:num>
  <w:num w:numId="23">
    <w:abstractNumId w:val="36"/>
  </w:num>
  <w:num w:numId="24">
    <w:abstractNumId w:val="38"/>
  </w:num>
  <w:num w:numId="25">
    <w:abstractNumId w:val="46"/>
  </w:num>
  <w:num w:numId="26">
    <w:abstractNumId w:val="30"/>
  </w:num>
  <w:num w:numId="27">
    <w:abstractNumId w:val="42"/>
  </w:num>
  <w:num w:numId="28">
    <w:abstractNumId w:val="4"/>
  </w:num>
  <w:num w:numId="29">
    <w:abstractNumId w:val="12"/>
  </w:num>
  <w:num w:numId="30">
    <w:abstractNumId w:val="28"/>
  </w:num>
  <w:num w:numId="31">
    <w:abstractNumId w:val="26"/>
  </w:num>
  <w:num w:numId="32">
    <w:abstractNumId w:val="18"/>
  </w:num>
  <w:num w:numId="33">
    <w:abstractNumId w:val="5"/>
  </w:num>
  <w:num w:numId="34">
    <w:abstractNumId w:val="29"/>
  </w:num>
  <w:num w:numId="35">
    <w:abstractNumId w:val="32"/>
  </w:num>
  <w:num w:numId="36">
    <w:abstractNumId w:val="20"/>
  </w:num>
  <w:num w:numId="37">
    <w:abstractNumId w:val="23"/>
  </w:num>
  <w:num w:numId="38">
    <w:abstractNumId w:val="17"/>
  </w:num>
  <w:num w:numId="39">
    <w:abstractNumId w:val="33"/>
  </w:num>
  <w:num w:numId="40">
    <w:abstractNumId w:val="27"/>
  </w:num>
  <w:num w:numId="41">
    <w:abstractNumId w:val="34"/>
  </w:num>
  <w:num w:numId="42">
    <w:abstractNumId w:val="37"/>
  </w:num>
  <w:num w:numId="43">
    <w:abstractNumId w:val="6"/>
  </w:num>
  <w:num w:numId="44">
    <w:abstractNumId w:val="45"/>
  </w:num>
  <w:num w:numId="45">
    <w:abstractNumId w:val="40"/>
  </w:num>
  <w:num w:numId="46">
    <w:abstractNumId w:val="1"/>
  </w:num>
  <w:num w:numId="47">
    <w:abstractNumId w:val="2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4FC"/>
    <w:rsid w:val="000000BF"/>
    <w:rsid w:val="000009A8"/>
    <w:rsid w:val="00000B83"/>
    <w:rsid w:val="00001731"/>
    <w:rsid w:val="00002678"/>
    <w:rsid w:val="0000312E"/>
    <w:rsid w:val="000035D4"/>
    <w:rsid w:val="00003A4A"/>
    <w:rsid w:val="00004861"/>
    <w:rsid w:val="00006465"/>
    <w:rsid w:val="00007401"/>
    <w:rsid w:val="00012DA6"/>
    <w:rsid w:val="00013EE2"/>
    <w:rsid w:val="00015B72"/>
    <w:rsid w:val="00015E84"/>
    <w:rsid w:val="00017D07"/>
    <w:rsid w:val="00020649"/>
    <w:rsid w:val="000207D7"/>
    <w:rsid w:val="000209D8"/>
    <w:rsid w:val="000210A8"/>
    <w:rsid w:val="0002185E"/>
    <w:rsid w:val="00021C3E"/>
    <w:rsid w:val="00021FA3"/>
    <w:rsid w:val="0002203E"/>
    <w:rsid w:val="00022F25"/>
    <w:rsid w:val="00023540"/>
    <w:rsid w:val="000243C8"/>
    <w:rsid w:val="00025DD3"/>
    <w:rsid w:val="000263FF"/>
    <w:rsid w:val="00027931"/>
    <w:rsid w:val="0003106F"/>
    <w:rsid w:val="000343C3"/>
    <w:rsid w:val="000348AA"/>
    <w:rsid w:val="00036608"/>
    <w:rsid w:val="00036D95"/>
    <w:rsid w:val="00040125"/>
    <w:rsid w:val="00042790"/>
    <w:rsid w:val="00043042"/>
    <w:rsid w:val="0004354C"/>
    <w:rsid w:val="00044DD9"/>
    <w:rsid w:val="00045381"/>
    <w:rsid w:val="000454FF"/>
    <w:rsid w:val="00046BC1"/>
    <w:rsid w:val="0004747D"/>
    <w:rsid w:val="00050E85"/>
    <w:rsid w:val="0005207F"/>
    <w:rsid w:val="000520E2"/>
    <w:rsid w:val="000522E8"/>
    <w:rsid w:val="000525E4"/>
    <w:rsid w:val="00052B75"/>
    <w:rsid w:val="00052D80"/>
    <w:rsid w:val="000554FC"/>
    <w:rsid w:val="000570BB"/>
    <w:rsid w:val="00057574"/>
    <w:rsid w:val="00057B8C"/>
    <w:rsid w:val="00061300"/>
    <w:rsid w:val="00061A0B"/>
    <w:rsid w:val="0006290C"/>
    <w:rsid w:val="000637FD"/>
    <w:rsid w:val="0006395F"/>
    <w:rsid w:val="00063C27"/>
    <w:rsid w:val="00064CC3"/>
    <w:rsid w:val="00065967"/>
    <w:rsid w:val="00065A9B"/>
    <w:rsid w:val="00066D20"/>
    <w:rsid w:val="000679F4"/>
    <w:rsid w:val="0007014A"/>
    <w:rsid w:val="0007019B"/>
    <w:rsid w:val="000707DC"/>
    <w:rsid w:val="00071151"/>
    <w:rsid w:val="00072842"/>
    <w:rsid w:val="00073A3A"/>
    <w:rsid w:val="00074312"/>
    <w:rsid w:val="00077CEF"/>
    <w:rsid w:val="00080367"/>
    <w:rsid w:val="00081097"/>
    <w:rsid w:val="0008353F"/>
    <w:rsid w:val="00084EF5"/>
    <w:rsid w:val="0008560B"/>
    <w:rsid w:val="00087500"/>
    <w:rsid w:val="00090473"/>
    <w:rsid w:val="000909A0"/>
    <w:rsid w:val="00092A0C"/>
    <w:rsid w:val="000936FF"/>
    <w:rsid w:val="000A013E"/>
    <w:rsid w:val="000A32C1"/>
    <w:rsid w:val="000A34B8"/>
    <w:rsid w:val="000A3599"/>
    <w:rsid w:val="000A36A7"/>
    <w:rsid w:val="000A56E4"/>
    <w:rsid w:val="000A662E"/>
    <w:rsid w:val="000A775A"/>
    <w:rsid w:val="000B068B"/>
    <w:rsid w:val="000B0705"/>
    <w:rsid w:val="000B3FCB"/>
    <w:rsid w:val="000B7785"/>
    <w:rsid w:val="000C1F6E"/>
    <w:rsid w:val="000C2A0B"/>
    <w:rsid w:val="000C2BF6"/>
    <w:rsid w:val="000C2C53"/>
    <w:rsid w:val="000C2F3B"/>
    <w:rsid w:val="000C2F75"/>
    <w:rsid w:val="000C4DA5"/>
    <w:rsid w:val="000C7133"/>
    <w:rsid w:val="000C78C3"/>
    <w:rsid w:val="000D0D33"/>
    <w:rsid w:val="000D29DA"/>
    <w:rsid w:val="000D46A9"/>
    <w:rsid w:val="000D4755"/>
    <w:rsid w:val="000D4A67"/>
    <w:rsid w:val="000D6820"/>
    <w:rsid w:val="000D68AE"/>
    <w:rsid w:val="000D6B5E"/>
    <w:rsid w:val="000D766B"/>
    <w:rsid w:val="000D7C28"/>
    <w:rsid w:val="000E0801"/>
    <w:rsid w:val="000E1B7A"/>
    <w:rsid w:val="000E2167"/>
    <w:rsid w:val="000E2B2C"/>
    <w:rsid w:val="000E2EFF"/>
    <w:rsid w:val="000E2FFE"/>
    <w:rsid w:val="000E3178"/>
    <w:rsid w:val="000E3733"/>
    <w:rsid w:val="000E4130"/>
    <w:rsid w:val="000E4A07"/>
    <w:rsid w:val="000E502B"/>
    <w:rsid w:val="000E52AF"/>
    <w:rsid w:val="000E532B"/>
    <w:rsid w:val="000E6ADC"/>
    <w:rsid w:val="000F25C1"/>
    <w:rsid w:val="000F57E6"/>
    <w:rsid w:val="000F5BA2"/>
    <w:rsid w:val="000F647D"/>
    <w:rsid w:val="00100C64"/>
    <w:rsid w:val="001020F3"/>
    <w:rsid w:val="00102C29"/>
    <w:rsid w:val="00102F61"/>
    <w:rsid w:val="001033F8"/>
    <w:rsid w:val="0010649F"/>
    <w:rsid w:val="001107C1"/>
    <w:rsid w:val="001126DC"/>
    <w:rsid w:val="00112B14"/>
    <w:rsid w:val="00112D45"/>
    <w:rsid w:val="001139C1"/>
    <w:rsid w:val="00114AF9"/>
    <w:rsid w:val="00117A61"/>
    <w:rsid w:val="00117D43"/>
    <w:rsid w:val="00124602"/>
    <w:rsid w:val="00124D1F"/>
    <w:rsid w:val="00124DE1"/>
    <w:rsid w:val="001279E4"/>
    <w:rsid w:val="00130755"/>
    <w:rsid w:val="001315B4"/>
    <w:rsid w:val="0013181B"/>
    <w:rsid w:val="00132112"/>
    <w:rsid w:val="00132373"/>
    <w:rsid w:val="00132717"/>
    <w:rsid w:val="001345DE"/>
    <w:rsid w:val="00134796"/>
    <w:rsid w:val="001348FB"/>
    <w:rsid w:val="00134A54"/>
    <w:rsid w:val="00135066"/>
    <w:rsid w:val="0013549C"/>
    <w:rsid w:val="0013578C"/>
    <w:rsid w:val="00136C67"/>
    <w:rsid w:val="001406AD"/>
    <w:rsid w:val="001416F9"/>
    <w:rsid w:val="001443D1"/>
    <w:rsid w:val="0014484C"/>
    <w:rsid w:val="00145053"/>
    <w:rsid w:val="00145ACD"/>
    <w:rsid w:val="00145ECA"/>
    <w:rsid w:val="00146287"/>
    <w:rsid w:val="00146D2E"/>
    <w:rsid w:val="00147034"/>
    <w:rsid w:val="0014719C"/>
    <w:rsid w:val="00147DA2"/>
    <w:rsid w:val="0015020C"/>
    <w:rsid w:val="00150F6B"/>
    <w:rsid w:val="00151359"/>
    <w:rsid w:val="0015164D"/>
    <w:rsid w:val="00153760"/>
    <w:rsid w:val="00154414"/>
    <w:rsid w:val="00161337"/>
    <w:rsid w:val="0016145E"/>
    <w:rsid w:val="00162A04"/>
    <w:rsid w:val="00164E79"/>
    <w:rsid w:val="0016598B"/>
    <w:rsid w:val="00165A98"/>
    <w:rsid w:val="00176AED"/>
    <w:rsid w:val="0018016E"/>
    <w:rsid w:val="00180A33"/>
    <w:rsid w:val="001810F3"/>
    <w:rsid w:val="00184D03"/>
    <w:rsid w:val="00186C30"/>
    <w:rsid w:val="00186FFC"/>
    <w:rsid w:val="00187290"/>
    <w:rsid w:val="0018756F"/>
    <w:rsid w:val="001876C5"/>
    <w:rsid w:val="001879DB"/>
    <w:rsid w:val="00190895"/>
    <w:rsid w:val="00191635"/>
    <w:rsid w:val="00191B09"/>
    <w:rsid w:val="001929C5"/>
    <w:rsid w:val="00195C0C"/>
    <w:rsid w:val="00196D30"/>
    <w:rsid w:val="001975EF"/>
    <w:rsid w:val="00197E6B"/>
    <w:rsid w:val="001A1593"/>
    <w:rsid w:val="001A16AC"/>
    <w:rsid w:val="001A18F3"/>
    <w:rsid w:val="001A1A0A"/>
    <w:rsid w:val="001A770B"/>
    <w:rsid w:val="001A7F38"/>
    <w:rsid w:val="001B0739"/>
    <w:rsid w:val="001B0B2E"/>
    <w:rsid w:val="001B3889"/>
    <w:rsid w:val="001B390C"/>
    <w:rsid w:val="001B438D"/>
    <w:rsid w:val="001B50F6"/>
    <w:rsid w:val="001C0381"/>
    <w:rsid w:val="001C1E0D"/>
    <w:rsid w:val="001C1FA6"/>
    <w:rsid w:val="001C29E8"/>
    <w:rsid w:val="001C374C"/>
    <w:rsid w:val="001C3D43"/>
    <w:rsid w:val="001C57DE"/>
    <w:rsid w:val="001C5949"/>
    <w:rsid w:val="001C63BB"/>
    <w:rsid w:val="001D1702"/>
    <w:rsid w:val="001D188C"/>
    <w:rsid w:val="001D25AF"/>
    <w:rsid w:val="001D2E89"/>
    <w:rsid w:val="001D65B0"/>
    <w:rsid w:val="001D6B77"/>
    <w:rsid w:val="001D7189"/>
    <w:rsid w:val="001D758F"/>
    <w:rsid w:val="001E1AF1"/>
    <w:rsid w:val="001E1B3D"/>
    <w:rsid w:val="001E39C8"/>
    <w:rsid w:val="001E4164"/>
    <w:rsid w:val="001E5051"/>
    <w:rsid w:val="001E5464"/>
    <w:rsid w:val="001E6133"/>
    <w:rsid w:val="001E6B2A"/>
    <w:rsid w:val="001F1AB1"/>
    <w:rsid w:val="001F2DDA"/>
    <w:rsid w:val="001F2EBB"/>
    <w:rsid w:val="001F38E1"/>
    <w:rsid w:val="001F3DB1"/>
    <w:rsid w:val="001F405A"/>
    <w:rsid w:val="001F78C8"/>
    <w:rsid w:val="001F7F82"/>
    <w:rsid w:val="002004BE"/>
    <w:rsid w:val="00200C1C"/>
    <w:rsid w:val="00201766"/>
    <w:rsid w:val="00201E0D"/>
    <w:rsid w:val="00203D78"/>
    <w:rsid w:val="00203E63"/>
    <w:rsid w:val="00204811"/>
    <w:rsid w:val="0020677C"/>
    <w:rsid w:val="00207709"/>
    <w:rsid w:val="002078A6"/>
    <w:rsid w:val="002108A3"/>
    <w:rsid w:val="00212EF1"/>
    <w:rsid w:val="00213E0A"/>
    <w:rsid w:val="0021423B"/>
    <w:rsid w:val="002148CA"/>
    <w:rsid w:val="0021691C"/>
    <w:rsid w:val="00216956"/>
    <w:rsid w:val="00216D35"/>
    <w:rsid w:val="00217128"/>
    <w:rsid w:val="00220E40"/>
    <w:rsid w:val="0022144C"/>
    <w:rsid w:val="00221A5D"/>
    <w:rsid w:val="0022390D"/>
    <w:rsid w:val="00223B91"/>
    <w:rsid w:val="00225491"/>
    <w:rsid w:val="00226621"/>
    <w:rsid w:val="00227844"/>
    <w:rsid w:val="002279C3"/>
    <w:rsid w:val="00227FEE"/>
    <w:rsid w:val="002311E1"/>
    <w:rsid w:val="0023154E"/>
    <w:rsid w:val="00233318"/>
    <w:rsid w:val="00234AD9"/>
    <w:rsid w:val="00235942"/>
    <w:rsid w:val="002410DA"/>
    <w:rsid w:val="002418F1"/>
    <w:rsid w:val="00241AF4"/>
    <w:rsid w:val="002435EB"/>
    <w:rsid w:val="002454AD"/>
    <w:rsid w:val="002474B6"/>
    <w:rsid w:val="00250550"/>
    <w:rsid w:val="00250FA5"/>
    <w:rsid w:val="00251CED"/>
    <w:rsid w:val="00251EE1"/>
    <w:rsid w:val="00251F9E"/>
    <w:rsid w:val="00252020"/>
    <w:rsid w:val="002530FA"/>
    <w:rsid w:val="0025390B"/>
    <w:rsid w:val="0025512F"/>
    <w:rsid w:val="00255D34"/>
    <w:rsid w:val="00256BA0"/>
    <w:rsid w:val="0025752B"/>
    <w:rsid w:val="00261812"/>
    <w:rsid w:val="002644C6"/>
    <w:rsid w:val="00265B98"/>
    <w:rsid w:val="00265D34"/>
    <w:rsid w:val="00267B86"/>
    <w:rsid w:val="00270620"/>
    <w:rsid w:val="00271DD5"/>
    <w:rsid w:val="002723D8"/>
    <w:rsid w:val="002725E4"/>
    <w:rsid w:val="002726E1"/>
    <w:rsid w:val="00273F45"/>
    <w:rsid w:val="00274116"/>
    <w:rsid w:val="0027474B"/>
    <w:rsid w:val="0027655C"/>
    <w:rsid w:val="0027771F"/>
    <w:rsid w:val="00277B65"/>
    <w:rsid w:val="00280481"/>
    <w:rsid w:val="00282D7B"/>
    <w:rsid w:val="00283E27"/>
    <w:rsid w:val="00285F84"/>
    <w:rsid w:val="002864D7"/>
    <w:rsid w:val="0029044B"/>
    <w:rsid w:val="00290E83"/>
    <w:rsid w:val="0029113C"/>
    <w:rsid w:val="0029192B"/>
    <w:rsid w:val="00291DB4"/>
    <w:rsid w:val="0029218E"/>
    <w:rsid w:val="00292859"/>
    <w:rsid w:val="00295AD0"/>
    <w:rsid w:val="00295EC5"/>
    <w:rsid w:val="00296633"/>
    <w:rsid w:val="002A0271"/>
    <w:rsid w:val="002A1866"/>
    <w:rsid w:val="002A1DE1"/>
    <w:rsid w:val="002A1FFD"/>
    <w:rsid w:val="002A5090"/>
    <w:rsid w:val="002A5374"/>
    <w:rsid w:val="002A5774"/>
    <w:rsid w:val="002B0A00"/>
    <w:rsid w:val="002B13EF"/>
    <w:rsid w:val="002B1E1C"/>
    <w:rsid w:val="002B5806"/>
    <w:rsid w:val="002B794F"/>
    <w:rsid w:val="002B7D75"/>
    <w:rsid w:val="002C09CE"/>
    <w:rsid w:val="002C0D5D"/>
    <w:rsid w:val="002C5974"/>
    <w:rsid w:val="002C5F9D"/>
    <w:rsid w:val="002C7D84"/>
    <w:rsid w:val="002D238F"/>
    <w:rsid w:val="002D2D1F"/>
    <w:rsid w:val="002D37AB"/>
    <w:rsid w:val="002D3A3D"/>
    <w:rsid w:val="002D4685"/>
    <w:rsid w:val="002D5172"/>
    <w:rsid w:val="002D59C8"/>
    <w:rsid w:val="002D5EFB"/>
    <w:rsid w:val="002D5FC9"/>
    <w:rsid w:val="002D6E4D"/>
    <w:rsid w:val="002D71AD"/>
    <w:rsid w:val="002D7D71"/>
    <w:rsid w:val="002E18B7"/>
    <w:rsid w:val="002E1A83"/>
    <w:rsid w:val="002E1DFA"/>
    <w:rsid w:val="002E24FD"/>
    <w:rsid w:val="002E255F"/>
    <w:rsid w:val="002E2D29"/>
    <w:rsid w:val="002E445D"/>
    <w:rsid w:val="002E4DA8"/>
    <w:rsid w:val="002E648C"/>
    <w:rsid w:val="002E66EE"/>
    <w:rsid w:val="002F016A"/>
    <w:rsid w:val="002F06E8"/>
    <w:rsid w:val="002F3F1F"/>
    <w:rsid w:val="002F640A"/>
    <w:rsid w:val="003004F5"/>
    <w:rsid w:val="00302F17"/>
    <w:rsid w:val="00303CFA"/>
    <w:rsid w:val="00304140"/>
    <w:rsid w:val="00304857"/>
    <w:rsid w:val="00304CD9"/>
    <w:rsid w:val="003059CB"/>
    <w:rsid w:val="00306B34"/>
    <w:rsid w:val="00307118"/>
    <w:rsid w:val="003103C9"/>
    <w:rsid w:val="003119CC"/>
    <w:rsid w:val="0031249F"/>
    <w:rsid w:val="003127CC"/>
    <w:rsid w:val="00312AD3"/>
    <w:rsid w:val="003141FA"/>
    <w:rsid w:val="003148F9"/>
    <w:rsid w:val="00314F39"/>
    <w:rsid w:val="0031575A"/>
    <w:rsid w:val="003161B9"/>
    <w:rsid w:val="003168E2"/>
    <w:rsid w:val="00320A2B"/>
    <w:rsid w:val="00320BCA"/>
    <w:rsid w:val="003210E2"/>
    <w:rsid w:val="0032121E"/>
    <w:rsid w:val="003230A7"/>
    <w:rsid w:val="00323724"/>
    <w:rsid w:val="003238E0"/>
    <w:rsid w:val="003241D6"/>
    <w:rsid w:val="00325DA6"/>
    <w:rsid w:val="003261EA"/>
    <w:rsid w:val="003265A7"/>
    <w:rsid w:val="00326ACC"/>
    <w:rsid w:val="003275DB"/>
    <w:rsid w:val="0033024A"/>
    <w:rsid w:val="003329D5"/>
    <w:rsid w:val="003335C4"/>
    <w:rsid w:val="00333ECF"/>
    <w:rsid w:val="0033623C"/>
    <w:rsid w:val="00336A51"/>
    <w:rsid w:val="00337C8A"/>
    <w:rsid w:val="003412D9"/>
    <w:rsid w:val="00342153"/>
    <w:rsid w:val="00342A43"/>
    <w:rsid w:val="003444E1"/>
    <w:rsid w:val="00347C51"/>
    <w:rsid w:val="00350072"/>
    <w:rsid w:val="0035067F"/>
    <w:rsid w:val="00355AA6"/>
    <w:rsid w:val="00356633"/>
    <w:rsid w:val="00356638"/>
    <w:rsid w:val="00357361"/>
    <w:rsid w:val="003574B1"/>
    <w:rsid w:val="00357661"/>
    <w:rsid w:val="003615F6"/>
    <w:rsid w:val="00361CAF"/>
    <w:rsid w:val="003627A2"/>
    <w:rsid w:val="0036401C"/>
    <w:rsid w:val="003660C4"/>
    <w:rsid w:val="00366832"/>
    <w:rsid w:val="00366867"/>
    <w:rsid w:val="0036761F"/>
    <w:rsid w:val="00370520"/>
    <w:rsid w:val="00372ED7"/>
    <w:rsid w:val="0037343F"/>
    <w:rsid w:val="00373550"/>
    <w:rsid w:val="00373C21"/>
    <w:rsid w:val="003759C7"/>
    <w:rsid w:val="00375A57"/>
    <w:rsid w:val="00381DFA"/>
    <w:rsid w:val="00382144"/>
    <w:rsid w:val="00382534"/>
    <w:rsid w:val="00384294"/>
    <w:rsid w:val="003846D0"/>
    <w:rsid w:val="0038532A"/>
    <w:rsid w:val="003876F3"/>
    <w:rsid w:val="003877B4"/>
    <w:rsid w:val="00390485"/>
    <w:rsid w:val="003908A5"/>
    <w:rsid w:val="00392F30"/>
    <w:rsid w:val="0039356A"/>
    <w:rsid w:val="00393785"/>
    <w:rsid w:val="003953D4"/>
    <w:rsid w:val="00395583"/>
    <w:rsid w:val="00395A25"/>
    <w:rsid w:val="003972A8"/>
    <w:rsid w:val="003977DB"/>
    <w:rsid w:val="003A0179"/>
    <w:rsid w:val="003A0683"/>
    <w:rsid w:val="003A19D3"/>
    <w:rsid w:val="003A1E4E"/>
    <w:rsid w:val="003A379E"/>
    <w:rsid w:val="003A6B70"/>
    <w:rsid w:val="003A740D"/>
    <w:rsid w:val="003B05A5"/>
    <w:rsid w:val="003B104D"/>
    <w:rsid w:val="003B3D19"/>
    <w:rsid w:val="003B5D4A"/>
    <w:rsid w:val="003B682F"/>
    <w:rsid w:val="003C0FFB"/>
    <w:rsid w:val="003C137D"/>
    <w:rsid w:val="003C1D4A"/>
    <w:rsid w:val="003C2088"/>
    <w:rsid w:val="003C28DA"/>
    <w:rsid w:val="003C28EC"/>
    <w:rsid w:val="003C3418"/>
    <w:rsid w:val="003C3594"/>
    <w:rsid w:val="003C4BBF"/>
    <w:rsid w:val="003C5199"/>
    <w:rsid w:val="003C659E"/>
    <w:rsid w:val="003C728E"/>
    <w:rsid w:val="003D029C"/>
    <w:rsid w:val="003D0609"/>
    <w:rsid w:val="003D093F"/>
    <w:rsid w:val="003D0F03"/>
    <w:rsid w:val="003D1562"/>
    <w:rsid w:val="003D4681"/>
    <w:rsid w:val="003D494E"/>
    <w:rsid w:val="003D5010"/>
    <w:rsid w:val="003D676E"/>
    <w:rsid w:val="003E001E"/>
    <w:rsid w:val="003E00E9"/>
    <w:rsid w:val="003E0BDD"/>
    <w:rsid w:val="003E0D47"/>
    <w:rsid w:val="003E173D"/>
    <w:rsid w:val="003E2D8C"/>
    <w:rsid w:val="003E4164"/>
    <w:rsid w:val="003E432F"/>
    <w:rsid w:val="003E4AE0"/>
    <w:rsid w:val="003E4F1F"/>
    <w:rsid w:val="003E7C89"/>
    <w:rsid w:val="003F0D72"/>
    <w:rsid w:val="003F2257"/>
    <w:rsid w:val="003F3E50"/>
    <w:rsid w:val="003F5463"/>
    <w:rsid w:val="003F5FD6"/>
    <w:rsid w:val="003F7E15"/>
    <w:rsid w:val="00400802"/>
    <w:rsid w:val="00400D71"/>
    <w:rsid w:val="0040293F"/>
    <w:rsid w:val="00403814"/>
    <w:rsid w:val="00405B8A"/>
    <w:rsid w:val="00405C61"/>
    <w:rsid w:val="00406C6E"/>
    <w:rsid w:val="00406D0B"/>
    <w:rsid w:val="004078C5"/>
    <w:rsid w:val="00411487"/>
    <w:rsid w:val="004114E5"/>
    <w:rsid w:val="004126FB"/>
    <w:rsid w:val="0041310E"/>
    <w:rsid w:val="00414D9E"/>
    <w:rsid w:val="00417C9C"/>
    <w:rsid w:val="004203B4"/>
    <w:rsid w:val="004205DA"/>
    <w:rsid w:val="00422588"/>
    <w:rsid w:val="00423CFA"/>
    <w:rsid w:val="00424F08"/>
    <w:rsid w:val="00425E41"/>
    <w:rsid w:val="00426937"/>
    <w:rsid w:val="004300E6"/>
    <w:rsid w:val="00432544"/>
    <w:rsid w:val="00435DEE"/>
    <w:rsid w:val="0043632C"/>
    <w:rsid w:val="00436B0F"/>
    <w:rsid w:val="004377F7"/>
    <w:rsid w:val="00442920"/>
    <w:rsid w:val="00443CFC"/>
    <w:rsid w:val="00444062"/>
    <w:rsid w:val="00444711"/>
    <w:rsid w:val="00445C8D"/>
    <w:rsid w:val="00450CB8"/>
    <w:rsid w:val="00451653"/>
    <w:rsid w:val="00451FAB"/>
    <w:rsid w:val="004528D3"/>
    <w:rsid w:val="004548E6"/>
    <w:rsid w:val="0045570A"/>
    <w:rsid w:val="00456783"/>
    <w:rsid w:val="00460769"/>
    <w:rsid w:val="00461362"/>
    <w:rsid w:val="00461899"/>
    <w:rsid w:val="00461B91"/>
    <w:rsid w:val="00462092"/>
    <w:rsid w:val="00462EC2"/>
    <w:rsid w:val="00462F1B"/>
    <w:rsid w:val="0046575E"/>
    <w:rsid w:val="00465D80"/>
    <w:rsid w:val="004671BE"/>
    <w:rsid w:val="00467251"/>
    <w:rsid w:val="00467352"/>
    <w:rsid w:val="00467ADD"/>
    <w:rsid w:val="004702F1"/>
    <w:rsid w:val="00470826"/>
    <w:rsid w:val="00470B88"/>
    <w:rsid w:val="004716DD"/>
    <w:rsid w:val="0047329C"/>
    <w:rsid w:val="00473738"/>
    <w:rsid w:val="00475105"/>
    <w:rsid w:val="00476A0D"/>
    <w:rsid w:val="00477123"/>
    <w:rsid w:val="0047793C"/>
    <w:rsid w:val="00482033"/>
    <w:rsid w:val="00482595"/>
    <w:rsid w:val="00483D41"/>
    <w:rsid w:val="00483F84"/>
    <w:rsid w:val="00483FF3"/>
    <w:rsid w:val="0048656D"/>
    <w:rsid w:val="00487604"/>
    <w:rsid w:val="004904DD"/>
    <w:rsid w:val="00492F72"/>
    <w:rsid w:val="00494CF8"/>
    <w:rsid w:val="0049578B"/>
    <w:rsid w:val="0049662A"/>
    <w:rsid w:val="004974AA"/>
    <w:rsid w:val="004A0580"/>
    <w:rsid w:val="004A1048"/>
    <w:rsid w:val="004A44C2"/>
    <w:rsid w:val="004A4DA5"/>
    <w:rsid w:val="004A5C87"/>
    <w:rsid w:val="004A5E6A"/>
    <w:rsid w:val="004A76C1"/>
    <w:rsid w:val="004B083E"/>
    <w:rsid w:val="004B0AF5"/>
    <w:rsid w:val="004B0DC6"/>
    <w:rsid w:val="004B1066"/>
    <w:rsid w:val="004B2866"/>
    <w:rsid w:val="004B31D5"/>
    <w:rsid w:val="004B3229"/>
    <w:rsid w:val="004B3629"/>
    <w:rsid w:val="004B3EAD"/>
    <w:rsid w:val="004B6D27"/>
    <w:rsid w:val="004B75E9"/>
    <w:rsid w:val="004C0262"/>
    <w:rsid w:val="004C07AC"/>
    <w:rsid w:val="004C2149"/>
    <w:rsid w:val="004C2DEE"/>
    <w:rsid w:val="004C3753"/>
    <w:rsid w:val="004C4731"/>
    <w:rsid w:val="004C4C14"/>
    <w:rsid w:val="004C4C78"/>
    <w:rsid w:val="004C62A5"/>
    <w:rsid w:val="004C7721"/>
    <w:rsid w:val="004C7772"/>
    <w:rsid w:val="004D14CC"/>
    <w:rsid w:val="004D268B"/>
    <w:rsid w:val="004D356F"/>
    <w:rsid w:val="004D5219"/>
    <w:rsid w:val="004D73DA"/>
    <w:rsid w:val="004E2DEA"/>
    <w:rsid w:val="004E4795"/>
    <w:rsid w:val="004E6662"/>
    <w:rsid w:val="004E6F98"/>
    <w:rsid w:val="004F00A3"/>
    <w:rsid w:val="004F0BF5"/>
    <w:rsid w:val="004F24C0"/>
    <w:rsid w:val="004F30BE"/>
    <w:rsid w:val="004F3CC4"/>
    <w:rsid w:val="004F5E79"/>
    <w:rsid w:val="004F6301"/>
    <w:rsid w:val="00502287"/>
    <w:rsid w:val="005022E7"/>
    <w:rsid w:val="00504054"/>
    <w:rsid w:val="005055CD"/>
    <w:rsid w:val="00505EB0"/>
    <w:rsid w:val="00506AA9"/>
    <w:rsid w:val="00506DFF"/>
    <w:rsid w:val="00507DF9"/>
    <w:rsid w:val="00513D51"/>
    <w:rsid w:val="00517226"/>
    <w:rsid w:val="005175BC"/>
    <w:rsid w:val="0052312C"/>
    <w:rsid w:val="005236D9"/>
    <w:rsid w:val="005237BB"/>
    <w:rsid w:val="00523994"/>
    <w:rsid w:val="0052546C"/>
    <w:rsid w:val="00526B3E"/>
    <w:rsid w:val="00526DD9"/>
    <w:rsid w:val="00526E59"/>
    <w:rsid w:val="00526F23"/>
    <w:rsid w:val="00527D63"/>
    <w:rsid w:val="00527EB5"/>
    <w:rsid w:val="0053133E"/>
    <w:rsid w:val="005313BB"/>
    <w:rsid w:val="005345F7"/>
    <w:rsid w:val="00536A5E"/>
    <w:rsid w:val="005376DE"/>
    <w:rsid w:val="00537AB7"/>
    <w:rsid w:val="005410C9"/>
    <w:rsid w:val="00541931"/>
    <w:rsid w:val="00541BFB"/>
    <w:rsid w:val="00541DB5"/>
    <w:rsid w:val="005433EC"/>
    <w:rsid w:val="0054379B"/>
    <w:rsid w:val="0054561B"/>
    <w:rsid w:val="00545FC9"/>
    <w:rsid w:val="00546DD6"/>
    <w:rsid w:val="005479E6"/>
    <w:rsid w:val="00547D55"/>
    <w:rsid w:val="00550020"/>
    <w:rsid w:val="00550BA8"/>
    <w:rsid w:val="00550F86"/>
    <w:rsid w:val="00552EB1"/>
    <w:rsid w:val="00552FDD"/>
    <w:rsid w:val="00553251"/>
    <w:rsid w:val="00553E8F"/>
    <w:rsid w:val="00553FC5"/>
    <w:rsid w:val="0055593D"/>
    <w:rsid w:val="0055636A"/>
    <w:rsid w:val="005564C8"/>
    <w:rsid w:val="00556CF9"/>
    <w:rsid w:val="005571C2"/>
    <w:rsid w:val="00561201"/>
    <w:rsid w:val="0056229B"/>
    <w:rsid w:val="005647AD"/>
    <w:rsid w:val="00564F7A"/>
    <w:rsid w:val="00566F11"/>
    <w:rsid w:val="0056736A"/>
    <w:rsid w:val="00570294"/>
    <w:rsid w:val="005751AC"/>
    <w:rsid w:val="0057523C"/>
    <w:rsid w:val="00576743"/>
    <w:rsid w:val="005818B4"/>
    <w:rsid w:val="00582042"/>
    <w:rsid w:val="00584117"/>
    <w:rsid w:val="005849F4"/>
    <w:rsid w:val="00584A38"/>
    <w:rsid w:val="005904E9"/>
    <w:rsid w:val="0059060E"/>
    <w:rsid w:val="0059163A"/>
    <w:rsid w:val="00591DBC"/>
    <w:rsid w:val="00593273"/>
    <w:rsid w:val="00593AF8"/>
    <w:rsid w:val="00595C9C"/>
    <w:rsid w:val="005A0DF0"/>
    <w:rsid w:val="005A0E1F"/>
    <w:rsid w:val="005A313A"/>
    <w:rsid w:val="005A5C6B"/>
    <w:rsid w:val="005A6B1D"/>
    <w:rsid w:val="005A7BED"/>
    <w:rsid w:val="005B0691"/>
    <w:rsid w:val="005B12B9"/>
    <w:rsid w:val="005B15E1"/>
    <w:rsid w:val="005B1CAE"/>
    <w:rsid w:val="005B3D67"/>
    <w:rsid w:val="005B5E32"/>
    <w:rsid w:val="005C0260"/>
    <w:rsid w:val="005C13C7"/>
    <w:rsid w:val="005C235E"/>
    <w:rsid w:val="005C2716"/>
    <w:rsid w:val="005C464D"/>
    <w:rsid w:val="005C55CD"/>
    <w:rsid w:val="005C6054"/>
    <w:rsid w:val="005C6FAF"/>
    <w:rsid w:val="005C75F7"/>
    <w:rsid w:val="005D090D"/>
    <w:rsid w:val="005D0C9A"/>
    <w:rsid w:val="005D0CF9"/>
    <w:rsid w:val="005D182D"/>
    <w:rsid w:val="005D1AD6"/>
    <w:rsid w:val="005D3C89"/>
    <w:rsid w:val="005D3E23"/>
    <w:rsid w:val="005D4D6A"/>
    <w:rsid w:val="005D6C0E"/>
    <w:rsid w:val="005E017C"/>
    <w:rsid w:val="005E14B4"/>
    <w:rsid w:val="005E1F7B"/>
    <w:rsid w:val="005E320D"/>
    <w:rsid w:val="005E340A"/>
    <w:rsid w:val="005E3624"/>
    <w:rsid w:val="005E38AA"/>
    <w:rsid w:val="005E6F59"/>
    <w:rsid w:val="005F02A2"/>
    <w:rsid w:val="005F280F"/>
    <w:rsid w:val="005F3176"/>
    <w:rsid w:val="005F3326"/>
    <w:rsid w:val="005F385D"/>
    <w:rsid w:val="005F4A4E"/>
    <w:rsid w:val="005F4E46"/>
    <w:rsid w:val="005F5CC3"/>
    <w:rsid w:val="005F64D3"/>
    <w:rsid w:val="005F7BC6"/>
    <w:rsid w:val="006008AB"/>
    <w:rsid w:val="00601AC4"/>
    <w:rsid w:val="00601B17"/>
    <w:rsid w:val="006021F1"/>
    <w:rsid w:val="00603EC5"/>
    <w:rsid w:val="00604CCA"/>
    <w:rsid w:val="00604D5A"/>
    <w:rsid w:val="006059FD"/>
    <w:rsid w:val="00605F66"/>
    <w:rsid w:val="0060679B"/>
    <w:rsid w:val="00607247"/>
    <w:rsid w:val="006123BE"/>
    <w:rsid w:val="006144C6"/>
    <w:rsid w:val="00616A90"/>
    <w:rsid w:val="00617D16"/>
    <w:rsid w:val="00620BB2"/>
    <w:rsid w:val="00621482"/>
    <w:rsid w:val="00621560"/>
    <w:rsid w:val="0062213C"/>
    <w:rsid w:val="00622612"/>
    <w:rsid w:val="00622E03"/>
    <w:rsid w:val="00625487"/>
    <w:rsid w:val="00626601"/>
    <w:rsid w:val="0062734C"/>
    <w:rsid w:val="006276F3"/>
    <w:rsid w:val="00627C0E"/>
    <w:rsid w:val="0063081F"/>
    <w:rsid w:val="0063188A"/>
    <w:rsid w:val="00632A73"/>
    <w:rsid w:val="00632F32"/>
    <w:rsid w:val="0063320A"/>
    <w:rsid w:val="00633DDE"/>
    <w:rsid w:val="00634263"/>
    <w:rsid w:val="00634EF1"/>
    <w:rsid w:val="00634F91"/>
    <w:rsid w:val="00636116"/>
    <w:rsid w:val="00636219"/>
    <w:rsid w:val="006375BA"/>
    <w:rsid w:val="006407F2"/>
    <w:rsid w:val="00640AEA"/>
    <w:rsid w:val="0064147D"/>
    <w:rsid w:val="006459D6"/>
    <w:rsid w:val="00645F9A"/>
    <w:rsid w:val="00646A26"/>
    <w:rsid w:val="0064796B"/>
    <w:rsid w:val="00655B44"/>
    <w:rsid w:val="006567C7"/>
    <w:rsid w:val="006571CF"/>
    <w:rsid w:val="0065793E"/>
    <w:rsid w:val="00661037"/>
    <w:rsid w:val="006612E7"/>
    <w:rsid w:val="00661722"/>
    <w:rsid w:val="006649C5"/>
    <w:rsid w:val="00664C26"/>
    <w:rsid w:val="006655A7"/>
    <w:rsid w:val="0066632A"/>
    <w:rsid w:val="00666D01"/>
    <w:rsid w:val="00667C27"/>
    <w:rsid w:val="00670288"/>
    <w:rsid w:val="006720C3"/>
    <w:rsid w:val="00672D3F"/>
    <w:rsid w:val="006730CC"/>
    <w:rsid w:val="0067427E"/>
    <w:rsid w:val="00674B7F"/>
    <w:rsid w:val="006766EF"/>
    <w:rsid w:val="0067736A"/>
    <w:rsid w:val="00680D1A"/>
    <w:rsid w:val="00681970"/>
    <w:rsid w:val="00681D2E"/>
    <w:rsid w:val="006820A4"/>
    <w:rsid w:val="0068241B"/>
    <w:rsid w:val="0068346E"/>
    <w:rsid w:val="0068372C"/>
    <w:rsid w:val="00684189"/>
    <w:rsid w:val="00685540"/>
    <w:rsid w:val="00685DF8"/>
    <w:rsid w:val="00686FD4"/>
    <w:rsid w:val="00687609"/>
    <w:rsid w:val="00687A8F"/>
    <w:rsid w:val="006901FC"/>
    <w:rsid w:val="00690752"/>
    <w:rsid w:val="00692D3D"/>
    <w:rsid w:val="006966A4"/>
    <w:rsid w:val="00697F1D"/>
    <w:rsid w:val="006A02F9"/>
    <w:rsid w:val="006A0986"/>
    <w:rsid w:val="006A13AC"/>
    <w:rsid w:val="006A2769"/>
    <w:rsid w:val="006A4E21"/>
    <w:rsid w:val="006A5B5C"/>
    <w:rsid w:val="006A5CB6"/>
    <w:rsid w:val="006A622C"/>
    <w:rsid w:val="006A7317"/>
    <w:rsid w:val="006A7613"/>
    <w:rsid w:val="006B022A"/>
    <w:rsid w:val="006B1EF7"/>
    <w:rsid w:val="006B3DA7"/>
    <w:rsid w:val="006B4A31"/>
    <w:rsid w:val="006B7898"/>
    <w:rsid w:val="006B7D46"/>
    <w:rsid w:val="006C062C"/>
    <w:rsid w:val="006C252A"/>
    <w:rsid w:val="006C264C"/>
    <w:rsid w:val="006C2C6F"/>
    <w:rsid w:val="006C3BC2"/>
    <w:rsid w:val="006C5711"/>
    <w:rsid w:val="006D1EB7"/>
    <w:rsid w:val="006D223F"/>
    <w:rsid w:val="006D2FF2"/>
    <w:rsid w:val="006D3B37"/>
    <w:rsid w:val="006D40D9"/>
    <w:rsid w:val="006D42AE"/>
    <w:rsid w:val="006D6D61"/>
    <w:rsid w:val="006E0772"/>
    <w:rsid w:val="006E0CE6"/>
    <w:rsid w:val="006E0DC3"/>
    <w:rsid w:val="006E3F31"/>
    <w:rsid w:val="006E44D6"/>
    <w:rsid w:val="006E4712"/>
    <w:rsid w:val="006E49E2"/>
    <w:rsid w:val="006E4CD0"/>
    <w:rsid w:val="006E4E63"/>
    <w:rsid w:val="006E5A8B"/>
    <w:rsid w:val="006E5B88"/>
    <w:rsid w:val="006E5C58"/>
    <w:rsid w:val="006E766F"/>
    <w:rsid w:val="006E776E"/>
    <w:rsid w:val="006F0BF8"/>
    <w:rsid w:val="006F1FA9"/>
    <w:rsid w:val="006F1FD2"/>
    <w:rsid w:val="006F3C70"/>
    <w:rsid w:val="006F3D12"/>
    <w:rsid w:val="006F5DD2"/>
    <w:rsid w:val="006F6008"/>
    <w:rsid w:val="006F67A8"/>
    <w:rsid w:val="006F6974"/>
    <w:rsid w:val="006F6B5D"/>
    <w:rsid w:val="006F723A"/>
    <w:rsid w:val="006F7DF2"/>
    <w:rsid w:val="006F7FE9"/>
    <w:rsid w:val="0070053E"/>
    <w:rsid w:val="00700ED3"/>
    <w:rsid w:val="007025FF"/>
    <w:rsid w:val="00702920"/>
    <w:rsid w:val="00702A73"/>
    <w:rsid w:val="00702C29"/>
    <w:rsid w:val="00703A0D"/>
    <w:rsid w:val="0070464D"/>
    <w:rsid w:val="00704D07"/>
    <w:rsid w:val="00705ADB"/>
    <w:rsid w:val="00710F62"/>
    <w:rsid w:val="00711163"/>
    <w:rsid w:val="00711D32"/>
    <w:rsid w:val="007142DD"/>
    <w:rsid w:val="00714D30"/>
    <w:rsid w:val="00715D76"/>
    <w:rsid w:val="007176E5"/>
    <w:rsid w:val="00721C98"/>
    <w:rsid w:val="0072334B"/>
    <w:rsid w:val="0072399C"/>
    <w:rsid w:val="00723CCF"/>
    <w:rsid w:val="00724D1B"/>
    <w:rsid w:val="00725BBD"/>
    <w:rsid w:val="00726BED"/>
    <w:rsid w:val="0073152D"/>
    <w:rsid w:val="007321B5"/>
    <w:rsid w:val="0073635C"/>
    <w:rsid w:val="00740F71"/>
    <w:rsid w:val="00741309"/>
    <w:rsid w:val="00741551"/>
    <w:rsid w:val="0074182E"/>
    <w:rsid w:val="00742BE4"/>
    <w:rsid w:val="00742CA3"/>
    <w:rsid w:val="00743851"/>
    <w:rsid w:val="00743AA7"/>
    <w:rsid w:val="00746172"/>
    <w:rsid w:val="00746B4C"/>
    <w:rsid w:val="0074718F"/>
    <w:rsid w:val="007508A4"/>
    <w:rsid w:val="00750C36"/>
    <w:rsid w:val="00751596"/>
    <w:rsid w:val="00752398"/>
    <w:rsid w:val="00753C29"/>
    <w:rsid w:val="00753EF0"/>
    <w:rsid w:val="00753F5F"/>
    <w:rsid w:val="007542AE"/>
    <w:rsid w:val="007543E5"/>
    <w:rsid w:val="00755E77"/>
    <w:rsid w:val="007567D4"/>
    <w:rsid w:val="007569D0"/>
    <w:rsid w:val="00756C02"/>
    <w:rsid w:val="00756FE6"/>
    <w:rsid w:val="0075753A"/>
    <w:rsid w:val="007577D6"/>
    <w:rsid w:val="00757CCC"/>
    <w:rsid w:val="00760516"/>
    <w:rsid w:val="00763EF6"/>
    <w:rsid w:val="007652B3"/>
    <w:rsid w:val="00765F63"/>
    <w:rsid w:val="00767E59"/>
    <w:rsid w:val="00770EF1"/>
    <w:rsid w:val="00772E26"/>
    <w:rsid w:val="007736F8"/>
    <w:rsid w:val="007746E3"/>
    <w:rsid w:val="007753B9"/>
    <w:rsid w:val="007767D7"/>
    <w:rsid w:val="007775E6"/>
    <w:rsid w:val="00780045"/>
    <w:rsid w:val="007837A5"/>
    <w:rsid w:val="00784159"/>
    <w:rsid w:val="007848B1"/>
    <w:rsid w:val="00787316"/>
    <w:rsid w:val="00787EA4"/>
    <w:rsid w:val="00790112"/>
    <w:rsid w:val="0079126E"/>
    <w:rsid w:val="007916A0"/>
    <w:rsid w:val="00794C45"/>
    <w:rsid w:val="007955F4"/>
    <w:rsid w:val="00795AD0"/>
    <w:rsid w:val="007979F9"/>
    <w:rsid w:val="007A1466"/>
    <w:rsid w:val="007A1DF9"/>
    <w:rsid w:val="007A25C3"/>
    <w:rsid w:val="007A2FA7"/>
    <w:rsid w:val="007A31E5"/>
    <w:rsid w:val="007A48AB"/>
    <w:rsid w:val="007A62C9"/>
    <w:rsid w:val="007A6DDB"/>
    <w:rsid w:val="007A6ED9"/>
    <w:rsid w:val="007B0C45"/>
    <w:rsid w:val="007B1BFB"/>
    <w:rsid w:val="007B209D"/>
    <w:rsid w:val="007B2616"/>
    <w:rsid w:val="007B28CF"/>
    <w:rsid w:val="007B2A49"/>
    <w:rsid w:val="007B3DA8"/>
    <w:rsid w:val="007B51BE"/>
    <w:rsid w:val="007B5462"/>
    <w:rsid w:val="007B689F"/>
    <w:rsid w:val="007C02CF"/>
    <w:rsid w:val="007C251A"/>
    <w:rsid w:val="007C2B8B"/>
    <w:rsid w:val="007C2CC6"/>
    <w:rsid w:val="007C386D"/>
    <w:rsid w:val="007C3EAC"/>
    <w:rsid w:val="007C4780"/>
    <w:rsid w:val="007C50E6"/>
    <w:rsid w:val="007C59BB"/>
    <w:rsid w:val="007C59DF"/>
    <w:rsid w:val="007C5EC6"/>
    <w:rsid w:val="007C6C73"/>
    <w:rsid w:val="007D1E64"/>
    <w:rsid w:val="007D2C04"/>
    <w:rsid w:val="007D38CF"/>
    <w:rsid w:val="007D4379"/>
    <w:rsid w:val="007D4DD2"/>
    <w:rsid w:val="007D501A"/>
    <w:rsid w:val="007D6579"/>
    <w:rsid w:val="007E06E2"/>
    <w:rsid w:val="007E1F59"/>
    <w:rsid w:val="007E2BB2"/>
    <w:rsid w:val="007E3536"/>
    <w:rsid w:val="007E455D"/>
    <w:rsid w:val="007E5781"/>
    <w:rsid w:val="007E5DF1"/>
    <w:rsid w:val="007E6C70"/>
    <w:rsid w:val="007E78B7"/>
    <w:rsid w:val="007E7DCD"/>
    <w:rsid w:val="007F0872"/>
    <w:rsid w:val="007F1A73"/>
    <w:rsid w:val="007F1C4D"/>
    <w:rsid w:val="007F2DCF"/>
    <w:rsid w:val="007F3D96"/>
    <w:rsid w:val="007F5152"/>
    <w:rsid w:val="007F5A0E"/>
    <w:rsid w:val="007F5CED"/>
    <w:rsid w:val="008005AD"/>
    <w:rsid w:val="00801EEB"/>
    <w:rsid w:val="008039B2"/>
    <w:rsid w:val="00803B31"/>
    <w:rsid w:val="008043F7"/>
    <w:rsid w:val="00804ED1"/>
    <w:rsid w:val="00805701"/>
    <w:rsid w:val="00805FC8"/>
    <w:rsid w:val="008063FB"/>
    <w:rsid w:val="008076E0"/>
    <w:rsid w:val="00817A4E"/>
    <w:rsid w:val="00817AD4"/>
    <w:rsid w:val="00820A31"/>
    <w:rsid w:val="00820DAC"/>
    <w:rsid w:val="008210FF"/>
    <w:rsid w:val="00821244"/>
    <w:rsid w:val="00822AF8"/>
    <w:rsid w:val="008250FA"/>
    <w:rsid w:val="00825153"/>
    <w:rsid w:val="008255E4"/>
    <w:rsid w:val="008259AA"/>
    <w:rsid w:val="008260F5"/>
    <w:rsid w:val="00826262"/>
    <w:rsid w:val="00826E44"/>
    <w:rsid w:val="008300D4"/>
    <w:rsid w:val="00830FDC"/>
    <w:rsid w:val="008318BA"/>
    <w:rsid w:val="00832737"/>
    <w:rsid w:val="0083329E"/>
    <w:rsid w:val="008348C8"/>
    <w:rsid w:val="00835BA1"/>
    <w:rsid w:val="00835C5F"/>
    <w:rsid w:val="008379B7"/>
    <w:rsid w:val="00840899"/>
    <w:rsid w:val="008413FB"/>
    <w:rsid w:val="008415A4"/>
    <w:rsid w:val="00841B66"/>
    <w:rsid w:val="0084211F"/>
    <w:rsid w:val="00843045"/>
    <w:rsid w:val="008431A0"/>
    <w:rsid w:val="008436DF"/>
    <w:rsid w:val="0084424F"/>
    <w:rsid w:val="0084616F"/>
    <w:rsid w:val="0084796A"/>
    <w:rsid w:val="00847C6F"/>
    <w:rsid w:val="00847F64"/>
    <w:rsid w:val="00850527"/>
    <w:rsid w:val="00851CBE"/>
    <w:rsid w:val="0085273D"/>
    <w:rsid w:val="00852D62"/>
    <w:rsid w:val="00853EE0"/>
    <w:rsid w:val="008541DA"/>
    <w:rsid w:val="0085611F"/>
    <w:rsid w:val="0085672D"/>
    <w:rsid w:val="00856C81"/>
    <w:rsid w:val="0086297E"/>
    <w:rsid w:val="0086355D"/>
    <w:rsid w:val="00863FB6"/>
    <w:rsid w:val="008640D6"/>
    <w:rsid w:val="008648AE"/>
    <w:rsid w:val="00865A9E"/>
    <w:rsid w:val="00865D9D"/>
    <w:rsid w:val="0086666B"/>
    <w:rsid w:val="00867C37"/>
    <w:rsid w:val="00870CD7"/>
    <w:rsid w:val="00872006"/>
    <w:rsid w:val="00873F84"/>
    <w:rsid w:val="00874F49"/>
    <w:rsid w:val="0087518D"/>
    <w:rsid w:val="00875532"/>
    <w:rsid w:val="00877E8D"/>
    <w:rsid w:val="00882409"/>
    <w:rsid w:val="008827CB"/>
    <w:rsid w:val="008829F7"/>
    <w:rsid w:val="0088318B"/>
    <w:rsid w:val="0088558F"/>
    <w:rsid w:val="008857CB"/>
    <w:rsid w:val="00887203"/>
    <w:rsid w:val="0088735E"/>
    <w:rsid w:val="00887B8F"/>
    <w:rsid w:val="008916DF"/>
    <w:rsid w:val="00893257"/>
    <w:rsid w:val="008933E9"/>
    <w:rsid w:val="00893624"/>
    <w:rsid w:val="00894088"/>
    <w:rsid w:val="008953A2"/>
    <w:rsid w:val="008954D1"/>
    <w:rsid w:val="00895FBC"/>
    <w:rsid w:val="00897833"/>
    <w:rsid w:val="00897C1F"/>
    <w:rsid w:val="008A2225"/>
    <w:rsid w:val="008A234B"/>
    <w:rsid w:val="008A4555"/>
    <w:rsid w:val="008A59C6"/>
    <w:rsid w:val="008A5D9F"/>
    <w:rsid w:val="008A68F0"/>
    <w:rsid w:val="008B0866"/>
    <w:rsid w:val="008B0CCA"/>
    <w:rsid w:val="008B2444"/>
    <w:rsid w:val="008B2456"/>
    <w:rsid w:val="008B3B62"/>
    <w:rsid w:val="008B4EEC"/>
    <w:rsid w:val="008B5A4A"/>
    <w:rsid w:val="008B633E"/>
    <w:rsid w:val="008B6F93"/>
    <w:rsid w:val="008B7E70"/>
    <w:rsid w:val="008C0117"/>
    <w:rsid w:val="008C05BC"/>
    <w:rsid w:val="008C0B61"/>
    <w:rsid w:val="008C18F3"/>
    <w:rsid w:val="008C2EB8"/>
    <w:rsid w:val="008C4931"/>
    <w:rsid w:val="008C571C"/>
    <w:rsid w:val="008C59E7"/>
    <w:rsid w:val="008C5CA4"/>
    <w:rsid w:val="008C5CBB"/>
    <w:rsid w:val="008C777E"/>
    <w:rsid w:val="008C7EF5"/>
    <w:rsid w:val="008D045E"/>
    <w:rsid w:val="008D1428"/>
    <w:rsid w:val="008D29FF"/>
    <w:rsid w:val="008D312A"/>
    <w:rsid w:val="008D35FE"/>
    <w:rsid w:val="008D37AC"/>
    <w:rsid w:val="008D3DF9"/>
    <w:rsid w:val="008D42B3"/>
    <w:rsid w:val="008D5542"/>
    <w:rsid w:val="008D635D"/>
    <w:rsid w:val="008D6474"/>
    <w:rsid w:val="008E118D"/>
    <w:rsid w:val="008E1364"/>
    <w:rsid w:val="008E1406"/>
    <w:rsid w:val="008E45CC"/>
    <w:rsid w:val="008E504B"/>
    <w:rsid w:val="008E5912"/>
    <w:rsid w:val="008E5AC9"/>
    <w:rsid w:val="008E69C7"/>
    <w:rsid w:val="008E6EDF"/>
    <w:rsid w:val="008E7772"/>
    <w:rsid w:val="008F017D"/>
    <w:rsid w:val="008F43BE"/>
    <w:rsid w:val="008F4553"/>
    <w:rsid w:val="00902085"/>
    <w:rsid w:val="0090354F"/>
    <w:rsid w:val="009039E5"/>
    <w:rsid w:val="00903E15"/>
    <w:rsid w:val="00907168"/>
    <w:rsid w:val="00907787"/>
    <w:rsid w:val="00910BBA"/>
    <w:rsid w:val="009110F9"/>
    <w:rsid w:val="00911E31"/>
    <w:rsid w:val="00913935"/>
    <w:rsid w:val="00914D95"/>
    <w:rsid w:val="00914F54"/>
    <w:rsid w:val="0091583A"/>
    <w:rsid w:val="00915BD1"/>
    <w:rsid w:val="009161A5"/>
    <w:rsid w:val="00916902"/>
    <w:rsid w:val="0092009E"/>
    <w:rsid w:val="00920E5E"/>
    <w:rsid w:val="00921005"/>
    <w:rsid w:val="00921E40"/>
    <w:rsid w:val="0092295D"/>
    <w:rsid w:val="0092498D"/>
    <w:rsid w:val="00926509"/>
    <w:rsid w:val="00926873"/>
    <w:rsid w:val="00926E21"/>
    <w:rsid w:val="00930CED"/>
    <w:rsid w:val="00931616"/>
    <w:rsid w:val="00931948"/>
    <w:rsid w:val="009329DC"/>
    <w:rsid w:val="00932F74"/>
    <w:rsid w:val="00935D95"/>
    <w:rsid w:val="00937296"/>
    <w:rsid w:val="00937854"/>
    <w:rsid w:val="00937F17"/>
    <w:rsid w:val="0094072C"/>
    <w:rsid w:val="00941520"/>
    <w:rsid w:val="00941DB4"/>
    <w:rsid w:val="00942612"/>
    <w:rsid w:val="009440E8"/>
    <w:rsid w:val="00944E7D"/>
    <w:rsid w:val="0095005D"/>
    <w:rsid w:val="00950C50"/>
    <w:rsid w:val="00951422"/>
    <w:rsid w:val="00952466"/>
    <w:rsid w:val="00952A3D"/>
    <w:rsid w:val="0095302E"/>
    <w:rsid w:val="0095313B"/>
    <w:rsid w:val="00953336"/>
    <w:rsid w:val="00953994"/>
    <w:rsid w:val="009539F5"/>
    <w:rsid w:val="00956E28"/>
    <w:rsid w:val="00957ADC"/>
    <w:rsid w:val="00960DA5"/>
    <w:rsid w:val="00960F6D"/>
    <w:rsid w:val="009622F1"/>
    <w:rsid w:val="00963523"/>
    <w:rsid w:val="009639B8"/>
    <w:rsid w:val="00963A63"/>
    <w:rsid w:val="00964D11"/>
    <w:rsid w:val="0096517C"/>
    <w:rsid w:val="00965E33"/>
    <w:rsid w:val="00965FA0"/>
    <w:rsid w:val="00967CC5"/>
    <w:rsid w:val="00967F40"/>
    <w:rsid w:val="00970131"/>
    <w:rsid w:val="009702FB"/>
    <w:rsid w:val="009719F4"/>
    <w:rsid w:val="00971C8A"/>
    <w:rsid w:val="00974492"/>
    <w:rsid w:val="00975388"/>
    <w:rsid w:val="009756AF"/>
    <w:rsid w:val="00976526"/>
    <w:rsid w:val="00976C79"/>
    <w:rsid w:val="00976D9E"/>
    <w:rsid w:val="00977B40"/>
    <w:rsid w:val="00980989"/>
    <w:rsid w:val="00980D5E"/>
    <w:rsid w:val="009827DD"/>
    <w:rsid w:val="00982FAD"/>
    <w:rsid w:val="00983CA7"/>
    <w:rsid w:val="00983FB6"/>
    <w:rsid w:val="00984D2D"/>
    <w:rsid w:val="00984D86"/>
    <w:rsid w:val="00984E00"/>
    <w:rsid w:val="009856BB"/>
    <w:rsid w:val="0098599D"/>
    <w:rsid w:val="00985E22"/>
    <w:rsid w:val="00985F3D"/>
    <w:rsid w:val="00986056"/>
    <w:rsid w:val="00987788"/>
    <w:rsid w:val="00990626"/>
    <w:rsid w:val="00991560"/>
    <w:rsid w:val="00991E92"/>
    <w:rsid w:val="00993776"/>
    <w:rsid w:val="00993D5D"/>
    <w:rsid w:val="00993ED2"/>
    <w:rsid w:val="00995AF0"/>
    <w:rsid w:val="00995EE5"/>
    <w:rsid w:val="0099660F"/>
    <w:rsid w:val="009A1282"/>
    <w:rsid w:val="009A2C64"/>
    <w:rsid w:val="009A5515"/>
    <w:rsid w:val="009A5715"/>
    <w:rsid w:val="009A57A8"/>
    <w:rsid w:val="009A78C1"/>
    <w:rsid w:val="009B1120"/>
    <w:rsid w:val="009B2D5E"/>
    <w:rsid w:val="009B4BE3"/>
    <w:rsid w:val="009B4CF9"/>
    <w:rsid w:val="009B5CBD"/>
    <w:rsid w:val="009C0B17"/>
    <w:rsid w:val="009C1FB7"/>
    <w:rsid w:val="009C27E1"/>
    <w:rsid w:val="009C3BE7"/>
    <w:rsid w:val="009C3D4C"/>
    <w:rsid w:val="009C3E29"/>
    <w:rsid w:val="009C41BB"/>
    <w:rsid w:val="009C6C10"/>
    <w:rsid w:val="009C771F"/>
    <w:rsid w:val="009C7841"/>
    <w:rsid w:val="009C78EB"/>
    <w:rsid w:val="009D2F61"/>
    <w:rsid w:val="009D2F88"/>
    <w:rsid w:val="009D313B"/>
    <w:rsid w:val="009D524A"/>
    <w:rsid w:val="009D7E56"/>
    <w:rsid w:val="009E09D7"/>
    <w:rsid w:val="009E0E2B"/>
    <w:rsid w:val="009E1681"/>
    <w:rsid w:val="009E1B46"/>
    <w:rsid w:val="009E3A73"/>
    <w:rsid w:val="009E45C4"/>
    <w:rsid w:val="009E7E2A"/>
    <w:rsid w:val="009F177E"/>
    <w:rsid w:val="009F27D7"/>
    <w:rsid w:val="009F3C06"/>
    <w:rsid w:val="009F51B5"/>
    <w:rsid w:val="009F623E"/>
    <w:rsid w:val="009F6B79"/>
    <w:rsid w:val="009F7AC8"/>
    <w:rsid w:val="009F7E02"/>
    <w:rsid w:val="00A0067E"/>
    <w:rsid w:val="00A00BF5"/>
    <w:rsid w:val="00A0139D"/>
    <w:rsid w:val="00A0171F"/>
    <w:rsid w:val="00A018B4"/>
    <w:rsid w:val="00A02444"/>
    <w:rsid w:val="00A04550"/>
    <w:rsid w:val="00A056A2"/>
    <w:rsid w:val="00A06360"/>
    <w:rsid w:val="00A07E40"/>
    <w:rsid w:val="00A105DB"/>
    <w:rsid w:val="00A10A31"/>
    <w:rsid w:val="00A120E0"/>
    <w:rsid w:val="00A14FD6"/>
    <w:rsid w:val="00A16D4F"/>
    <w:rsid w:val="00A17E15"/>
    <w:rsid w:val="00A20EAD"/>
    <w:rsid w:val="00A21949"/>
    <w:rsid w:val="00A234FC"/>
    <w:rsid w:val="00A2475C"/>
    <w:rsid w:val="00A258FA"/>
    <w:rsid w:val="00A25ACD"/>
    <w:rsid w:val="00A305F9"/>
    <w:rsid w:val="00A309B6"/>
    <w:rsid w:val="00A30A02"/>
    <w:rsid w:val="00A30B4A"/>
    <w:rsid w:val="00A32BC3"/>
    <w:rsid w:val="00A331A8"/>
    <w:rsid w:val="00A34286"/>
    <w:rsid w:val="00A34442"/>
    <w:rsid w:val="00A35682"/>
    <w:rsid w:val="00A367B0"/>
    <w:rsid w:val="00A36E87"/>
    <w:rsid w:val="00A37BD2"/>
    <w:rsid w:val="00A37DC9"/>
    <w:rsid w:val="00A408D0"/>
    <w:rsid w:val="00A413B9"/>
    <w:rsid w:val="00A41CF6"/>
    <w:rsid w:val="00A41FA1"/>
    <w:rsid w:val="00A42745"/>
    <w:rsid w:val="00A43C0B"/>
    <w:rsid w:val="00A505FE"/>
    <w:rsid w:val="00A50C93"/>
    <w:rsid w:val="00A50EFD"/>
    <w:rsid w:val="00A50FDD"/>
    <w:rsid w:val="00A51540"/>
    <w:rsid w:val="00A53F0F"/>
    <w:rsid w:val="00A54683"/>
    <w:rsid w:val="00A5494A"/>
    <w:rsid w:val="00A5510D"/>
    <w:rsid w:val="00A559E6"/>
    <w:rsid w:val="00A575D8"/>
    <w:rsid w:val="00A60964"/>
    <w:rsid w:val="00A620E4"/>
    <w:rsid w:val="00A62A63"/>
    <w:rsid w:val="00A63701"/>
    <w:rsid w:val="00A64011"/>
    <w:rsid w:val="00A6407A"/>
    <w:rsid w:val="00A64D59"/>
    <w:rsid w:val="00A662E5"/>
    <w:rsid w:val="00A666C5"/>
    <w:rsid w:val="00A67372"/>
    <w:rsid w:val="00A7105A"/>
    <w:rsid w:val="00A72452"/>
    <w:rsid w:val="00A747E2"/>
    <w:rsid w:val="00A7521B"/>
    <w:rsid w:val="00A813B1"/>
    <w:rsid w:val="00A824C1"/>
    <w:rsid w:val="00A8323A"/>
    <w:rsid w:val="00A8433A"/>
    <w:rsid w:val="00A84362"/>
    <w:rsid w:val="00A845DB"/>
    <w:rsid w:val="00A845F8"/>
    <w:rsid w:val="00A85085"/>
    <w:rsid w:val="00A859D5"/>
    <w:rsid w:val="00A86227"/>
    <w:rsid w:val="00A865F6"/>
    <w:rsid w:val="00A86B38"/>
    <w:rsid w:val="00A87F58"/>
    <w:rsid w:val="00A91012"/>
    <w:rsid w:val="00A91498"/>
    <w:rsid w:val="00A92B9E"/>
    <w:rsid w:val="00A938CE"/>
    <w:rsid w:val="00A93CF1"/>
    <w:rsid w:val="00A940E0"/>
    <w:rsid w:val="00A9557C"/>
    <w:rsid w:val="00A95AD5"/>
    <w:rsid w:val="00A95E03"/>
    <w:rsid w:val="00A97B81"/>
    <w:rsid w:val="00AA0577"/>
    <w:rsid w:val="00AA08BE"/>
    <w:rsid w:val="00AA1019"/>
    <w:rsid w:val="00AA31D9"/>
    <w:rsid w:val="00AA4025"/>
    <w:rsid w:val="00AA45CA"/>
    <w:rsid w:val="00AA5EFE"/>
    <w:rsid w:val="00AA6C30"/>
    <w:rsid w:val="00AA6F1F"/>
    <w:rsid w:val="00AA7FDB"/>
    <w:rsid w:val="00AB0E25"/>
    <w:rsid w:val="00AB3064"/>
    <w:rsid w:val="00AB33B9"/>
    <w:rsid w:val="00AB46FF"/>
    <w:rsid w:val="00AB63D8"/>
    <w:rsid w:val="00AB7C91"/>
    <w:rsid w:val="00AC1398"/>
    <w:rsid w:val="00AC1646"/>
    <w:rsid w:val="00AC27C8"/>
    <w:rsid w:val="00AC2DDD"/>
    <w:rsid w:val="00AC31CB"/>
    <w:rsid w:val="00AC358C"/>
    <w:rsid w:val="00AC4281"/>
    <w:rsid w:val="00AC63E9"/>
    <w:rsid w:val="00AC6569"/>
    <w:rsid w:val="00AC65AD"/>
    <w:rsid w:val="00AD0E51"/>
    <w:rsid w:val="00AD19EA"/>
    <w:rsid w:val="00AD2BE0"/>
    <w:rsid w:val="00AD2F44"/>
    <w:rsid w:val="00AD3F17"/>
    <w:rsid w:val="00AD47EC"/>
    <w:rsid w:val="00AD540C"/>
    <w:rsid w:val="00AD567F"/>
    <w:rsid w:val="00AD7435"/>
    <w:rsid w:val="00AD749A"/>
    <w:rsid w:val="00AE055C"/>
    <w:rsid w:val="00AE2F45"/>
    <w:rsid w:val="00AE3B7B"/>
    <w:rsid w:val="00AE448B"/>
    <w:rsid w:val="00AE5553"/>
    <w:rsid w:val="00AE630D"/>
    <w:rsid w:val="00AE656D"/>
    <w:rsid w:val="00AE7E0D"/>
    <w:rsid w:val="00AF1716"/>
    <w:rsid w:val="00AF4166"/>
    <w:rsid w:val="00AF6382"/>
    <w:rsid w:val="00AF6F62"/>
    <w:rsid w:val="00AF78E4"/>
    <w:rsid w:val="00B010C7"/>
    <w:rsid w:val="00B01701"/>
    <w:rsid w:val="00B017AE"/>
    <w:rsid w:val="00B0189B"/>
    <w:rsid w:val="00B02729"/>
    <w:rsid w:val="00B02B01"/>
    <w:rsid w:val="00B038CD"/>
    <w:rsid w:val="00B03DE9"/>
    <w:rsid w:val="00B03F98"/>
    <w:rsid w:val="00B056D9"/>
    <w:rsid w:val="00B05AC9"/>
    <w:rsid w:val="00B06EDA"/>
    <w:rsid w:val="00B103A8"/>
    <w:rsid w:val="00B105C1"/>
    <w:rsid w:val="00B10B4D"/>
    <w:rsid w:val="00B12183"/>
    <w:rsid w:val="00B12321"/>
    <w:rsid w:val="00B1295D"/>
    <w:rsid w:val="00B13555"/>
    <w:rsid w:val="00B13A21"/>
    <w:rsid w:val="00B143AA"/>
    <w:rsid w:val="00B1453E"/>
    <w:rsid w:val="00B14745"/>
    <w:rsid w:val="00B172D8"/>
    <w:rsid w:val="00B17CFC"/>
    <w:rsid w:val="00B20D6F"/>
    <w:rsid w:val="00B2140D"/>
    <w:rsid w:val="00B2187D"/>
    <w:rsid w:val="00B21B25"/>
    <w:rsid w:val="00B229D9"/>
    <w:rsid w:val="00B23014"/>
    <w:rsid w:val="00B24306"/>
    <w:rsid w:val="00B247EE"/>
    <w:rsid w:val="00B2560A"/>
    <w:rsid w:val="00B25D4E"/>
    <w:rsid w:val="00B2600B"/>
    <w:rsid w:val="00B2655C"/>
    <w:rsid w:val="00B26655"/>
    <w:rsid w:val="00B270D0"/>
    <w:rsid w:val="00B27660"/>
    <w:rsid w:val="00B27AB2"/>
    <w:rsid w:val="00B32768"/>
    <w:rsid w:val="00B32A0C"/>
    <w:rsid w:val="00B33A08"/>
    <w:rsid w:val="00B33A49"/>
    <w:rsid w:val="00B3410A"/>
    <w:rsid w:val="00B3586C"/>
    <w:rsid w:val="00B36E23"/>
    <w:rsid w:val="00B41F87"/>
    <w:rsid w:val="00B422E9"/>
    <w:rsid w:val="00B43E90"/>
    <w:rsid w:val="00B440B5"/>
    <w:rsid w:val="00B50623"/>
    <w:rsid w:val="00B50832"/>
    <w:rsid w:val="00B533E6"/>
    <w:rsid w:val="00B53DF0"/>
    <w:rsid w:val="00B543DA"/>
    <w:rsid w:val="00B54711"/>
    <w:rsid w:val="00B559FA"/>
    <w:rsid w:val="00B568AB"/>
    <w:rsid w:val="00B57A5C"/>
    <w:rsid w:val="00B60D97"/>
    <w:rsid w:val="00B6159F"/>
    <w:rsid w:val="00B66B92"/>
    <w:rsid w:val="00B71254"/>
    <w:rsid w:val="00B71B07"/>
    <w:rsid w:val="00B72281"/>
    <w:rsid w:val="00B7265E"/>
    <w:rsid w:val="00B7321D"/>
    <w:rsid w:val="00B739F2"/>
    <w:rsid w:val="00B73E4B"/>
    <w:rsid w:val="00B74861"/>
    <w:rsid w:val="00B7540F"/>
    <w:rsid w:val="00B805D0"/>
    <w:rsid w:val="00B813E3"/>
    <w:rsid w:val="00B825C0"/>
    <w:rsid w:val="00B82DB9"/>
    <w:rsid w:val="00B84AAD"/>
    <w:rsid w:val="00B84B1D"/>
    <w:rsid w:val="00B92C4B"/>
    <w:rsid w:val="00B945B4"/>
    <w:rsid w:val="00B94B88"/>
    <w:rsid w:val="00B95796"/>
    <w:rsid w:val="00B974E2"/>
    <w:rsid w:val="00B9756D"/>
    <w:rsid w:val="00BA21FC"/>
    <w:rsid w:val="00BA4A58"/>
    <w:rsid w:val="00BA51EE"/>
    <w:rsid w:val="00BA6E8C"/>
    <w:rsid w:val="00BA7014"/>
    <w:rsid w:val="00BA7D08"/>
    <w:rsid w:val="00BA7D46"/>
    <w:rsid w:val="00BA7F0F"/>
    <w:rsid w:val="00BB22AC"/>
    <w:rsid w:val="00BB22B1"/>
    <w:rsid w:val="00BB2D69"/>
    <w:rsid w:val="00BB2E62"/>
    <w:rsid w:val="00BB4AC1"/>
    <w:rsid w:val="00BB60C0"/>
    <w:rsid w:val="00BB7593"/>
    <w:rsid w:val="00BC0196"/>
    <w:rsid w:val="00BC01F0"/>
    <w:rsid w:val="00BC09A1"/>
    <w:rsid w:val="00BC1A5E"/>
    <w:rsid w:val="00BC1C91"/>
    <w:rsid w:val="00BC33D4"/>
    <w:rsid w:val="00BC382C"/>
    <w:rsid w:val="00BC3CA4"/>
    <w:rsid w:val="00BC4109"/>
    <w:rsid w:val="00BC565E"/>
    <w:rsid w:val="00BC5A29"/>
    <w:rsid w:val="00BC7170"/>
    <w:rsid w:val="00BD0D27"/>
    <w:rsid w:val="00BD0E61"/>
    <w:rsid w:val="00BD1BB5"/>
    <w:rsid w:val="00BD3E53"/>
    <w:rsid w:val="00BD407E"/>
    <w:rsid w:val="00BD5616"/>
    <w:rsid w:val="00BD5909"/>
    <w:rsid w:val="00BD697D"/>
    <w:rsid w:val="00BD6FEF"/>
    <w:rsid w:val="00BD763F"/>
    <w:rsid w:val="00BE029B"/>
    <w:rsid w:val="00BE0CC5"/>
    <w:rsid w:val="00BE0EF9"/>
    <w:rsid w:val="00BE14F2"/>
    <w:rsid w:val="00BE1688"/>
    <w:rsid w:val="00BE1793"/>
    <w:rsid w:val="00BE19C9"/>
    <w:rsid w:val="00BE1AE7"/>
    <w:rsid w:val="00BE20FA"/>
    <w:rsid w:val="00BE3CEF"/>
    <w:rsid w:val="00BE74D2"/>
    <w:rsid w:val="00BE775C"/>
    <w:rsid w:val="00BF103B"/>
    <w:rsid w:val="00BF1AFC"/>
    <w:rsid w:val="00BF21C2"/>
    <w:rsid w:val="00BF3E1F"/>
    <w:rsid w:val="00BF568E"/>
    <w:rsid w:val="00BF5CA8"/>
    <w:rsid w:val="00BF6A01"/>
    <w:rsid w:val="00BF7522"/>
    <w:rsid w:val="00C01E0E"/>
    <w:rsid w:val="00C034FA"/>
    <w:rsid w:val="00C04913"/>
    <w:rsid w:val="00C05E5A"/>
    <w:rsid w:val="00C064AF"/>
    <w:rsid w:val="00C068D8"/>
    <w:rsid w:val="00C07175"/>
    <w:rsid w:val="00C072E9"/>
    <w:rsid w:val="00C1010A"/>
    <w:rsid w:val="00C10329"/>
    <w:rsid w:val="00C10AF1"/>
    <w:rsid w:val="00C11BA5"/>
    <w:rsid w:val="00C1297D"/>
    <w:rsid w:val="00C13221"/>
    <w:rsid w:val="00C13817"/>
    <w:rsid w:val="00C13CB0"/>
    <w:rsid w:val="00C1659E"/>
    <w:rsid w:val="00C16EA8"/>
    <w:rsid w:val="00C20CE9"/>
    <w:rsid w:val="00C21045"/>
    <w:rsid w:val="00C210A6"/>
    <w:rsid w:val="00C210E0"/>
    <w:rsid w:val="00C21184"/>
    <w:rsid w:val="00C214AA"/>
    <w:rsid w:val="00C21B1F"/>
    <w:rsid w:val="00C230C4"/>
    <w:rsid w:val="00C24369"/>
    <w:rsid w:val="00C25AFA"/>
    <w:rsid w:val="00C26B05"/>
    <w:rsid w:val="00C27261"/>
    <w:rsid w:val="00C27ABC"/>
    <w:rsid w:val="00C27BD9"/>
    <w:rsid w:val="00C33377"/>
    <w:rsid w:val="00C3455E"/>
    <w:rsid w:val="00C345E4"/>
    <w:rsid w:val="00C35F73"/>
    <w:rsid w:val="00C36B4A"/>
    <w:rsid w:val="00C36D7B"/>
    <w:rsid w:val="00C407CB"/>
    <w:rsid w:val="00C41B31"/>
    <w:rsid w:val="00C44564"/>
    <w:rsid w:val="00C45C28"/>
    <w:rsid w:val="00C4680D"/>
    <w:rsid w:val="00C46FAE"/>
    <w:rsid w:val="00C5353E"/>
    <w:rsid w:val="00C5390A"/>
    <w:rsid w:val="00C54B24"/>
    <w:rsid w:val="00C54FB7"/>
    <w:rsid w:val="00C551BD"/>
    <w:rsid w:val="00C561A6"/>
    <w:rsid w:val="00C56809"/>
    <w:rsid w:val="00C5692D"/>
    <w:rsid w:val="00C57128"/>
    <w:rsid w:val="00C57D3B"/>
    <w:rsid w:val="00C6195C"/>
    <w:rsid w:val="00C62185"/>
    <w:rsid w:val="00C63243"/>
    <w:rsid w:val="00C6335E"/>
    <w:rsid w:val="00C637E4"/>
    <w:rsid w:val="00C65182"/>
    <w:rsid w:val="00C65705"/>
    <w:rsid w:val="00C65C12"/>
    <w:rsid w:val="00C6679D"/>
    <w:rsid w:val="00C67BDB"/>
    <w:rsid w:val="00C7090F"/>
    <w:rsid w:val="00C71517"/>
    <w:rsid w:val="00C729D6"/>
    <w:rsid w:val="00C72A1F"/>
    <w:rsid w:val="00C74179"/>
    <w:rsid w:val="00C743C6"/>
    <w:rsid w:val="00C744B0"/>
    <w:rsid w:val="00C74A0F"/>
    <w:rsid w:val="00C74BC9"/>
    <w:rsid w:val="00C75A08"/>
    <w:rsid w:val="00C76DDA"/>
    <w:rsid w:val="00C82395"/>
    <w:rsid w:val="00C82ECA"/>
    <w:rsid w:val="00C84417"/>
    <w:rsid w:val="00C92A73"/>
    <w:rsid w:val="00C93748"/>
    <w:rsid w:val="00C94AEC"/>
    <w:rsid w:val="00C955A0"/>
    <w:rsid w:val="00C9627F"/>
    <w:rsid w:val="00C96B11"/>
    <w:rsid w:val="00C96C05"/>
    <w:rsid w:val="00C96D94"/>
    <w:rsid w:val="00CA0922"/>
    <w:rsid w:val="00CA2DF1"/>
    <w:rsid w:val="00CA5515"/>
    <w:rsid w:val="00CA57BB"/>
    <w:rsid w:val="00CA58D2"/>
    <w:rsid w:val="00CA640F"/>
    <w:rsid w:val="00CB1C70"/>
    <w:rsid w:val="00CB25F9"/>
    <w:rsid w:val="00CB3B2E"/>
    <w:rsid w:val="00CB6112"/>
    <w:rsid w:val="00CB62B3"/>
    <w:rsid w:val="00CB6F5F"/>
    <w:rsid w:val="00CB71BC"/>
    <w:rsid w:val="00CC0402"/>
    <w:rsid w:val="00CC4547"/>
    <w:rsid w:val="00CC554C"/>
    <w:rsid w:val="00CC680D"/>
    <w:rsid w:val="00CC79B3"/>
    <w:rsid w:val="00CD084A"/>
    <w:rsid w:val="00CD1FFB"/>
    <w:rsid w:val="00CD4B7A"/>
    <w:rsid w:val="00CE0373"/>
    <w:rsid w:val="00CE0B34"/>
    <w:rsid w:val="00CE1AAC"/>
    <w:rsid w:val="00CE309A"/>
    <w:rsid w:val="00CE3791"/>
    <w:rsid w:val="00CE4B86"/>
    <w:rsid w:val="00CE6E61"/>
    <w:rsid w:val="00CE77C4"/>
    <w:rsid w:val="00CE7949"/>
    <w:rsid w:val="00CF2A35"/>
    <w:rsid w:val="00CF3FF8"/>
    <w:rsid w:val="00CF55B5"/>
    <w:rsid w:val="00CF6B46"/>
    <w:rsid w:val="00CF75A1"/>
    <w:rsid w:val="00CF7865"/>
    <w:rsid w:val="00D005C6"/>
    <w:rsid w:val="00D01428"/>
    <w:rsid w:val="00D0166F"/>
    <w:rsid w:val="00D01B51"/>
    <w:rsid w:val="00D03C6A"/>
    <w:rsid w:val="00D04759"/>
    <w:rsid w:val="00D06E0B"/>
    <w:rsid w:val="00D07640"/>
    <w:rsid w:val="00D13DBC"/>
    <w:rsid w:val="00D150F3"/>
    <w:rsid w:val="00D16A4D"/>
    <w:rsid w:val="00D16CDC"/>
    <w:rsid w:val="00D16D3E"/>
    <w:rsid w:val="00D1772D"/>
    <w:rsid w:val="00D177B9"/>
    <w:rsid w:val="00D2019B"/>
    <w:rsid w:val="00D21402"/>
    <w:rsid w:val="00D21654"/>
    <w:rsid w:val="00D225CB"/>
    <w:rsid w:val="00D22DA2"/>
    <w:rsid w:val="00D2445D"/>
    <w:rsid w:val="00D2553A"/>
    <w:rsid w:val="00D26246"/>
    <w:rsid w:val="00D26DC8"/>
    <w:rsid w:val="00D27651"/>
    <w:rsid w:val="00D2777C"/>
    <w:rsid w:val="00D3006A"/>
    <w:rsid w:val="00D30B33"/>
    <w:rsid w:val="00D30C9D"/>
    <w:rsid w:val="00D3268B"/>
    <w:rsid w:val="00D32790"/>
    <w:rsid w:val="00D3332C"/>
    <w:rsid w:val="00D33B9C"/>
    <w:rsid w:val="00D33FF0"/>
    <w:rsid w:val="00D353E2"/>
    <w:rsid w:val="00D36964"/>
    <w:rsid w:val="00D36D84"/>
    <w:rsid w:val="00D3743D"/>
    <w:rsid w:val="00D375B1"/>
    <w:rsid w:val="00D4055A"/>
    <w:rsid w:val="00D40694"/>
    <w:rsid w:val="00D41813"/>
    <w:rsid w:val="00D41EDE"/>
    <w:rsid w:val="00D43765"/>
    <w:rsid w:val="00D443E3"/>
    <w:rsid w:val="00D44D5C"/>
    <w:rsid w:val="00D45DF0"/>
    <w:rsid w:val="00D45E95"/>
    <w:rsid w:val="00D4652B"/>
    <w:rsid w:val="00D468DC"/>
    <w:rsid w:val="00D46E82"/>
    <w:rsid w:val="00D51E91"/>
    <w:rsid w:val="00D52D0D"/>
    <w:rsid w:val="00D52E66"/>
    <w:rsid w:val="00D55562"/>
    <w:rsid w:val="00D611E0"/>
    <w:rsid w:val="00D6467F"/>
    <w:rsid w:val="00D64DB5"/>
    <w:rsid w:val="00D64E8A"/>
    <w:rsid w:val="00D64FFF"/>
    <w:rsid w:val="00D654C5"/>
    <w:rsid w:val="00D65A97"/>
    <w:rsid w:val="00D663A4"/>
    <w:rsid w:val="00D66CE5"/>
    <w:rsid w:val="00D6742A"/>
    <w:rsid w:val="00D674CA"/>
    <w:rsid w:val="00D72303"/>
    <w:rsid w:val="00D72880"/>
    <w:rsid w:val="00D730ED"/>
    <w:rsid w:val="00D73ADD"/>
    <w:rsid w:val="00D75D0D"/>
    <w:rsid w:val="00D76408"/>
    <w:rsid w:val="00D77B0D"/>
    <w:rsid w:val="00D82E6F"/>
    <w:rsid w:val="00D82E76"/>
    <w:rsid w:val="00D83EF8"/>
    <w:rsid w:val="00D84FDA"/>
    <w:rsid w:val="00D854A1"/>
    <w:rsid w:val="00D86CFB"/>
    <w:rsid w:val="00D8740D"/>
    <w:rsid w:val="00D87D95"/>
    <w:rsid w:val="00D90A41"/>
    <w:rsid w:val="00D91133"/>
    <w:rsid w:val="00D91383"/>
    <w:rsid w:val="00D92809"/>
    <w:rsid w:val="00D932F3"/>
    <w:rsid w:val="00D942C4"/>
    <w:rsid w:val="00D95541"/>
    <w:rsid w:val="00D958F7"/>
    <w:rsid w:val="00D966A7"/>
    <w:rsid w:val="00D975DB"/>
    <w:rsid w:val="00DA41B9"/>
    <w:rsid w:val="00DA4722"/>
    <w:rsid w:val="00DA5C09"/>
    <w:rsid w:val="00DA67A6"/>
    <w:rsid w:val="00DA69AA"/>
    <w:rsid w:val="00DA7626"/>
    <w:rsid w:val="00DB225D"/>
    <w:rsid w:val="00DB3C8B"/>
    <w:rsid w:val="00DB79BA"/>
    <w:rsid w:val="00DC0123"/>
    <w:rsid w:val="00DC048C"/>
    <w:rsid w:val="00DC1544"/>
    <w:rsid w:val="00DD0C8C"/>
    <w:rsid w:val="00DD2B80"/>
    <w:rsid w:val="00DD4686"/>
    <w:rsid w:val="00DD6B5C"/>
    <w:rsid w:val="00DD6F84"/>
    <w:rsid w:val="00DD7394"/>
    <w:rsid w:val="00DE054A"/>
    <w:rsid w:val="00DE1F50"/>
    <w:rsid w:val="00DE2269"/>
    <w:rsid w:val="00DE26E2"/>
    <w:rsid w:val="00DE2AA5"/>
    <w:rsid w:val="00DE3C8E"/>
    <w:rsid w:val="00DE3E1C"/>
    <w:rsid w:val="00DE43CA"/>
    <w:rsid w:val="00DE5B2B"/>
    <w:rsid w:val="00DE73C5"/>
    <w:rsid w:val="00DF24CD"/>
    <w:rsid w:val="00DF61DD"/>
    <w:rsid w:val="00DF729E"/>
    <w:rsid w:val="00E0079D"/>
    <w:rsid w:val="00E00CB6"/>
    <w:rsid w:val="00E00FFB"/>
    <w:rsid w:val="00E01718"/>
    <w:rsid w:val="00E01A29"/>
    <w:rsid w:val="00E027ED"/>
    <w:rsid w:val="00E031D9"/>
    <w:rsid w:val="00E039AA"/>
    <w:rsid w:val="00E04221"/>
    <w:rsid w:val="00E04946"/>
    <w:rsid w:val="00E04F85"/>
    <w:rsid w:val="00E054FB"/>
    <w:rsid w:val="00E11AD4"/>
    <w:rsid w:val="00E11D37"/>
    <w:rsid w:val="00E12939"/>
    <w:rsid w:val="00E14B44"/>
    <w:rsid w:val="00E1502E"/>
    <w:rsid w:val="00E15396"/>
    <w:rsid w:val="00E15C9D"/>
    <w:rsid w:val="00E17009"/>
    <w:rsid w:val="00E20A59"/>
    <w:rsid w:val="00E2196F"/>
    <w:rsid w:val="00E241A3"/>
    <w:rsid w:val="00E24B91"/>
    <w:rsid w:val="00E24EDE"/>
    <w:rsid w:val="00E26826"/>
    <w:rsid w:val="00E26BFC"/>
    <w:rsid w:val="00E305F8"/>
    <w:rsid w:val="00E30D62"/>
    <w:rsid w:val="00E31FCB"/>
    <w:rsid w:val="00E3202B"/>
    <w:rsid w:val="00E32343"/>
    <w:rsid w:val="00E34033"/>
    <w:rsid w:val="00E3547B"/>
    <w:rsid w:val="00E35926"/>
    <w:rsid w:val="00E36B60"/>
    <w:rsid w:val="00E40BE9"/>
    <w:rsid w:val="00E41D1D"/>
    <w:rsid w:val="00E42FF9"/>
    <w:rsid w:val="00E43178"/>
    <w:rsid w:val="00E43515"/>
    <w:rsid w:val="00E4581E"/>
    <w:rsid w:val="00E459EF"/>
    <w:rsid w:val="00E46685"/>
    <w:rsid w:val="00E50319"/>
    <w:rsid w:val="00E508A7"/>
    <w:rsid w:val="00E53BDD"/>
    <w:rsid w:val="00E5789B"/>
    <w:rsid w:val="00E60C66"/>
    <w:rsid w:val="00E60E4A"/>
    <w:rsid w:val="00E61987"/>
    <w:rsid w:val="00E62052"/>
    <w:rsid w:val="00E639BA"/>
    <w:rsid w:val="00E6502F"/>
    <w:rsid w:val="00E660D0"/>
    <w:rsid w:val="00E662CA"/>
    <w:rsid w:val="00E66771"/>
    <w:rsid w:val="00E718C8"/>
    <w:rsid w:val="00E72745"/>
    <w:rsid w:val="00E72D0F"/>
    <w:rsid w:val="00E735CE"/>
    <w:rsid w:val="00E73A99"/>
    <w:rsid w:val="00E74290"/>
    <w:rsid w:val="00E77752"/>
    <w:rsid w:val="00E77BBA"/>
    <w:rsid w:val="00E80193"/>
    <w:rsid w:val="00E80A9A"/>
    <w:rsid w:val="00E82406"/>
    <w:rsid w:val="00E82411"/>
    <w:rsid w:val="00E82726"/>
    <w:rsid w:val="00E842C5"/>
    <w:rsid w:val="00E845EB"/>
    <w:rsid w:val="00E85498"/>
    <w:rsid w:val="00E860E0"/>
    <w:rsid w:val="00E86312"/>
    <w:rsid w:val="00E8724D"/>
    <w:rsid w:val="00E87CDC"/>
    <w:rsid w:val="00E90460"/>
    <w:rsid w:val="00E91118"/>
    <w:rsid w:val="00E918F8"/>
    <w:rsid w:val="00E91DAC"/>
    <w:rsid w:val="00E9235C"/>
    <w:rsid w:val="00E929DD"/>
    <w:rsid w:val="00E93479"/>
    <w:rsid w:val="00E9402A"/>
    <w:rsid w:val="00E94E99"/>
    <w:rsid w:val="00E971EF"/>
    <w:rsid w:val="00EA0015"/>
    <w:rsid w:val="00EA07AD"/>
    <w:rsid w:val="00EA07BA"/>
    <w:rsid w:val="00EA0F1A"/>
    <w:rsid w:val="00EA1943"/>
    <w:rsid w:val="00EA1C71"/>
    <w:rsid w:val="00EA1DF5"/>
    <w:rsid w:val="00EA5024"/>
    <w:rsid w:val="00EA55DB"/>
    <w:rsid w:val="00EA5B54"/>
    <w:rsid w:val="00EA6777"/>
    <w:rsid w:val="00EA6882"/>
    <w:rsid w:val="00EB1143"/>
    <w:rsid w:val="00EB1A8F"/>
    <w:rsid w:val="00EB1CA1"/>
    <w:rsid w:val="00EB4532"/>
    <w:rsid w:val="00EB4F1B"/>
    <w:rsid w:val="00EB5EA0"/>
    <w:rsid w:val="00EB6554"/>
    <w:rsid w:val="00EB74DD"/>
    <w:rsid w:val="00EC22AF"/>
    <w:rsid w:val="00EC27B9"/>
    <w:rsid w:val="00EC4044"/>
    <w:rsid w:val="00EC5A2B"/>
    <w:rsid w:val="00EC5C7B"/>
    <w:rsid w:val="00EC60B4"/>
    <w:rsid w:val="00EC7A68"/>
    <w:rsid w:val="00ED1A63"/>
    <w:rsid w:val="00ED21DA"/>
    <w:rsid w:val="00ED4CB9"/>
    <w:rsid w:val="00ED655B"/>
    <w:rsid w:val="00ED723C"/>
    <w:rsid w:val="00ED7372"/>
    <w:rsid w:val="00ED7AF6"/>
    <w:rsid w:val="00EE02B2"/>
    <w:rsid w:val="00EE1773"/>
    <w:rsid w:val="00EE1DA1"/>
    <w:rsid w:val="00EE3956"/>
    <w:rsid w:val="00EE48C6"/>
    <w:rsid w:val="00EE4E8E"/>
    <w:rsid w:val="00EE5026"/>
    <w:rsid w:val="00EE5096"/>
    <w:rsid w:val="00EE6476"/>
    <w:rsid w:val="00EE7ED5"/>
    <w:rsid w:val="00EE7F69"/>
    <w:rsid w:val="00EF160B"/>
    <w:rsid w:val="00EF28EF"/>
    <w:rsid w:val="00EF2D5C"/>
    <w:rsid w:val="00EF3D9C"/>
    <w:rsid w:val="00EF7007"/>
    <w:rsid w:val="00F004C8"/>
    <w:rsid w:val="00F024A8"/>
    <w:rsid w:val="00F0263E"/>
    <w:rsid w:val="00F02C5B"/>
    <w:rsid w:val="00F04179"/>
    <w:rsid w:val="00F044E3"/>
    <w:rsid w:val="00F04860"/>
    <w:rsid w:val="00F04CDE"/>
    <w:rsid w:val="00F0564E"/>
    <w:rsid w:val="00F05F6C"/>
    <w:rsid w:val="00F06640"/>
    <w:rsid w:val="00F10C24"/>
    <w:rsid w:val="00F136A7"/>
    <w:rsid w:val="00F15A69"/>
    <w:rsid w:val="00F21DB0"/>
    <w:rsid w:val="00F24808"/>
    <w:rsid w:val="00F26A10"/>
    <w:rsid w:val="00F26ACD"/>
    <w:rsid w:val="00F26DDF"/>
    <w:rsid w:val="00F26FC0"/>
    <w:rsid w:val="00F317DA"/>
    <w:rsid w:val="00F317EF"/>
    <w:rsid w:val="00F359EB"/>
    <w:rsid w:val="00F35A75"/>
    <w:rsid w:val="00F36690"/>
    <w:rsid w:val="00F367C2"/>
    <w:rsid w:val="00F371B2"/>
    <w:rsid w:val="00F374F5"/>
    <w:rsid w:val="00F40893"/>
    <w:rsid w:val="00F409C7"/>
    <w:rsid w:val="00F40D5E"/>
    <w:rsid w:val="00F414C0"/>
    <w:rsid w:val="00F414EC"/>
    <w:rsid w:val="00F4336A"/>
    <w:rsid w:val="00F43C99"/>
    <w:rsid w:val="00F43FD0"/>
    <w:rsid w:val="00F45825"/>
    <w:rsid w:val="00F45C9A"/>
    <w:rsid w:val="00F509FA"/>
    <w:rsid w:val="00F5235A"/>
    <w:rsid w:val="00F53F0D"/>
    <w:rsid w:val="00F55A5C"/>
    <w:rsid w:val="00F567D1"/>
    <w:rsid w:val="00F5710F"/>
    <w:rsid w:val="00F60D9D"/>
    <w:rsid w:val="00F61058"/>
    <w:rsid w:val="00F640CD"/>
    <w:rsid w:val="00F64441"/>
    <w:rsid w:val="00F64663"/>
    <w:rsid w:val="00F65CB1"/>
    <w:rsid w:val="00F6656E"/>
    <w:rsid w:val="00F66784"/>
    <w:rsid w:val="00F672A9"/>
    <w:rsid w:val="00F672F4"/>
    <w:rsid w:val="00F70353"/>
    <w:rsid w:val="00F70D26"/>
    <w:rsid w:val="00F7376C"/>
    <w:rsid w:val="00F740A1"/>
    <w:rsid w:val="00F74D3C"/>
    <w:rsid w:val="00F755B6"/>
    <w:rsid w:val="00F75C38"/>
    <w:rsid w:val="00F774F7"/>
    <w:rsid w:val="00F80B2A"/>
    <w:rsid w:val="00F80DCF"/>
    <w:rsid w:val="00F80ECB"/>
    <w:rsid w:val="00F81AA8"/>
    <w:rsid w:val="00F81C66"/>
    <w:rsid w:val="00F82BBE"/>
    <w:rsid w:val="00F83095"/>
    <w:rsid w:val="00F842A5"/>
    <w:rsid w:val="00F86AAF"/>
    <w:rsid w:val="00F877B3"/>
    <w:rsid w:val="00F90483"/>
    <w:rsid w:val="00F9212D"/>
    <w:rsid w:val="00F94258"/>
    <w:rsid w:val="00F956E1"/>
    <w:rsid w:val="00F962B2"/>
    <w:rsid w:val="00F9630B"/>
    <w:rsid w:val="00F965B6"/>
    <w:rsid w:val="00F9724A"/>
    <w:rsid w:val="00FA1189"/>
    <w:rsid w:val="00FA182A"/>
    <w:rsid w:val="00FA3942"/>
    <w:rsid w:val="00FA6203"/>
    <w:rsid w:val="00FA74C0"/>
    <w:rsid w:val="00FA756D"/>
    <w:rsid w:val="00FB0423"/>
    <w:rsid w:val="00FB0AF3"/>
    <w:rsid w:val="00FB1BB9"/>
    <w:rsid w:val="00FB3035"/>
    <w:rsid w:val="00FB31C6"/>
    <w:rsid w:val="00FB37FD"/>
    <w:rsid w:val="00FB3E3D"/>
    <w:rsid w:val="00FB4313"/>
    <w:rsid w:val="00FB4658"/>
    <w:rsid w:val="00FB5201"/>
    <w:rsid w:val="00FB54FC"/>
    <w:rsid w:val="00FB7364"/>
    <w:rsid w:val="00FB79FB"/>
    <w:rsid w:val="00FB7C55"/>
    <w:rsid w:val="00FC08FD"/>
    <w:rsid w:val="00FC20E3"/>
    <w:rsid w:val="00FC276E"/>
    <w:rsid w:val="00FC31F7"/>
    <w:rsid w:val="00FC4AEE"/>
    <w:rsid w:val="00FC4D5A"/>
    <w:rsid w:val="00FC4FBE"/>
    <w:rsid w:val="00FC5274"/>
    <w:rsid w:val="00FD3A7F"/>
    <w:rsid w:val="00FD46B2"/>
    <w:rsid w:val="00FD4E51"/>
    <w:rsid w:val="00FD5E34"/>
    <w:rsid w:val="00FD7FF9"/>
    <w:rsid w:val="00FE0502"/>
    <w:rsid w:val="00FE0B49"/>
    <w:rsid w:val="00FE0D04"/>
    <w:rsid w:val="00FE14B0"/>
    <w:rsid w:val="00FE21C7"/>
    <w:rsid w:val="00FE5918"/>
    <w:rsid w:val="00FE66CF"/>
    <w:rsid w:val="00FE7480"/>
    <w:rsid w:val="00FE78B6"/>
    <w:rsid w:val="00FE7982"/>
    <w:rsid w:val="00FF0412"/>
    <w:rsid w:val="00FF1764"/>
    <w:rsid w:val="00FF2890"/>
    <w:rsid w:val="00FF45CF"/>
    <w:rsid w:val="00FF4D15"/>
    <w:rsid w:val="00FF5062"/>
    <w:rsid w:val="00FF5D0D"/>
    <w:rsid w:val="00FF5D98"/>
    <w:rsid w:val="00FF7A78"/>
    <w:rsid w:val="00FF7EE8"/>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nhideWhenUsed="0"/>
    <w:lsdException w:name="caption" w:locked="1" w:semiHidden="0" w:uiPriority="0" w:unhideWhenUsed="0" w:qFormat="1"/>
    <w:lsdException w:name="footnote reference" w:locked="1" w:semiHidden="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ny">
    <w:name w:val="Normal"/>
    <w:qFormat/>
    <w:rsid w:val="00803B31"/>
    <w:pPr>
      <w:spacing w:after="160" w:line="259" w:lineRule="auto"/>
    </w:pPr>
    <w:rPr>
      <w:sz w:val="22"/>
      <w:szCs w:val="22"/>
      <w:lang w:eastAsia="en-US"/>
    </w:rPr>
  </w:style>
  <w:style w:type="paragraph" w:styleId="Nagwek1">
    <w:name w:val="heading 1"/>
    <w:basedOn w:val="Normalny"/>
    <w:next w:val="Normalny"/>
    <w:link w:val="Nagwek1Znak"/>
    <w:uiPriority w:val="99"/>
    <w:qFormat/>
    <w:rsid w:val="00874F49"/>
    <w:pPr>
      <w:keepNext/>
      <w:keepLines/>
      <w:spacing w:before="240" w:after="0"/>
      <w:outlineLvl w:val="0"/>
    </w:pPr>
    <w:rPr>
      <w:rFonts w:ascii="Calibri Light" w:hAnsi="Calibri Light"/>
      <w:color w:val="2E74B5"/>
      <w:sz w:val="32"/>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874F49"/>
    <w:rPr>
      <w:rFonts w:ascii="Calibri Light" w:hAnsi="Calibri Light"/>
      <w:color w:val="2E74B5"/>
      <w:sz w:val="32"/>
    </w:rPr>
  </w:style>
  <w:style w:type="character" w:styleId="Hipercze">
    <w:name w:val="Hyperlink"/>
    <w:basedOn w:val="Domylnaczcionkaakapitu"/>
    <w:uiPriority w:val="99"/>
    <w:rsid w:val="00E5789B"/>
    <w:rPr>
      <w:rFonts w:cs="Times New Roman"/>
      <w:color w:val="0000FF"/>
      <w:u w:val="single"/>
    </w:rPr>
  </w:style>
  <w:style w:type="paragraph" w:styleId="Nagwek">
    <w:name w:val="header"/>
    <w:basedOn w:val="Normalny"/>
    <w:link w:val="NagwekZnak"/>
    <w:uiPriority w:val="99"/>
    <w:rsid w:val="002148CA"/>
    <w:pPr>
      <w:tabs>
        <w:tab w:val="center" w:pos="4536"/>
        <w:tab w:val="right" w:pos="9072"/>
      </w:tabs>
      <w:spacing w:after="0" w:line="240" w:lineRule="auto"/>
    </w:pPr>
    <w:rPr>
      <w:sz w:val="20"/>
      <w:szCs w:val="20"/>
      <w:lang w:eastAsia="pl-PL"/>
    </w:rPr>
  </w:style>
  <w:style w:type="character" w:customStyle="1" w:styleId="NagwekZnak">
    <w:name w:val="Nagłówek Znak"/>
    <w:basedOn w:val="Domylnaczcionkaakapitu"/>
    <w:link w:val="Nagwek"/>
    <w:uiPriority w:val="99"/>
    <w:locked/>
    <w:rsid w:val="002148CA"/>
    <w:rPr>
      <w:rFonts w:cs="Times New Roman"/>
    </w:rPr>
  </w:style>
  <w:style w:type="paragraph" w:styleId="Stopka">
    <w:name w:val="footer"/>
    <w:basedOn w:val="Normalny"/>
    <w:link w:val="StopkaZnak"/>
    <w:uiPriority w:val="99"/>
    <w:rsid w:val="002148CA"/>
    <w:pPr>
      <w:tabs>
        <w:tab w:val="center" w:pos="4536"/>
        <w:tab w:val="right" w:pos="9072"/>
      </w:tabs>
      <w:spacing w:after="0" w:line="240" w:lineRule="auto"/>
    </w:pPr>
    <w:rPr>
      <w:sz w:val="20"/>
      <w:szCs w:val="20"/>
      <w:lang w:eastAsia="pl-PL"/>
    </w:rPr>
  </w:style>
  <w:style w:type="character" w:customStyle="1" w:styleId="StopkaZnak">
    <w:name w:val="Stopka Znak"/>
    <w:basedOn w:val="Domylnaczcionkaakapitu"/>
    <w:link w:val="Stopka"/>
    <w:uiPriority w:val="99"/>
    <w:locked/>
    <w:rsid w:val="002148CA"/>
    <w:rPr>
      <w:rFonts w:cs="Times New Roman"/>
    </w:rPr>
  </w:style>
  <w:style w:type="paragraph" w:styleId="Akapitzlist">
    <w:name w:val="List Paragraph"/>
    <w:basedOn w:val="Normalny"/>
    <w:uiPriority w:val="34"/>
    <w:qFormat/>
    <w:rsid w:val="002148CA"/>
    <w:pPr>
      <w:ind w:left="720"/>
      <w:contextualSpacing/>
    </w:pPr>
  </w:style>
  <w:style w:type="paragraph" w:styleId="Nagwekspisutreci">
    <w:name w:val="TOC Heading"/>
    <w:basedOn w:val="Nagwek1"/>
    <w:next w:val="Normalny"/>
    <w:uiPriority w:val="39"/>
    <w:qFormat/>
    <w:rsid w:val="00874F49"/>
    <w:pPr>
      <w:outlineLvl w:val="9"/>
    </w:pPr>
  </w:style>
  <w:style w:type="paragraph" w:styleId="Spistreci1">
    <w:name w:val="toc 1"/>
    <w:basedOn w:val="Normalny"/>
    <w:next w:val="Normalny"/>
    <w:autoRedefine/>
    <w:uiPriority w:val="39"/>
    <w:rsid w:val="00227FEE"/>
    <w:pPr>
      <w:tabs>
        <w:tab w:val="left" w:pos="426"/>
        <w:tab w:val="right" w:leader="dot" w:pos="9060"/>
      </w:tabs>
      <w:spacing w:after="100"/>
      <w:ind w:left="426" w:hanging="426"/>
    </w:pPr>
  </w:style>
  <w:style w:type="paragraph" w:styleId="Spistreci2">
    <w:name w:val="toc 2"/>
    <w:basedOn w:val="Normalny"/>
    <w:next w:val="Normalny"/>
    <w:autoRedefine/>
    <w:uiPriority w:val="39"/>
    <w:rsid w:val="000554FC"/>
    <w:pPr>
      <w:tabs>
        <w:tab w:val="left" w:pos="426"/>
        <w:tab w:val="right" w:leader="dot" w:pos="9060"/>
      </w:tabs>
      <w:spacing w:after="100"/>
      <w:ind w:left="426" w:hanging="206"/>
    </w:pPr>
  </w:style>
  <w:style w:type="paragraph" w:styleId="Spistreci3">
    <w:name w:val="toc 3"/>
    <w:basedOn w:val="Normalny"/>
    <w:next w:val="Normalny"/>
    <w:autoRedefine/>
    <w:uiPriority w:val="39"/>
    <w:rsid w:val="00BC0196"/>
    <w:pPr>
      <w:spacing w:after="100"/>
      <w:ind w:left="440"/>
    </w:pPr>
  </w:style>
  <w:style w:type="paragraph" w:styleId="Tekstprzypisudolnego">
    <w:name w:val="footnote text"/>
    <w:basedOn w:val="Normalny"/>
    <w:link w:val="TekstprzypisudolnegoZnak"/>
    <w:uiPriority w:val="99"/>
    <w:rsid w:val="002D3A3D"/>
    <w:rPr>
      <w:sz w:val="20"/>
      <w:szCs w:val="20"/>
    </w:rPr>
  </w:style>
  <w:style w:type="character" w:customStyle="1" w:styleId="TekstprzypisudolnegoZnak">
    <w:name w:val="Tekst przypisu dolnego Znak"/>
    <w:basedOn w:val="Domylnaczcionkaakapitu"/>
    <w:link w:val="Tekstprzypisudolnego"/>
    <w:uiPriority w:val="99"/>
    <w:locked/>
    <w:rsid w:val="002D3A3D"/>
    <w:rPr>
      <w:sz w:val="20"/>
      <w:lang w:eastAsia="en-US"/>
    </w:rPr>
  </w:style>
  <w:style w:type="character" w:styleId="Odwoanieprzypisudolnego">
    <w:name w:val="footnote reference"/>
    <w:aliases w:val="FZ"/>
    <w:basedOn w:val="Domylnaczcionkaakapitu"/>
    <w:uiPriority w:val="99"/>
    <w:rsid w:val="002D3A3D"/>
    <w:rPr>
      <w:rFonts w:cs="Times New Roman"/>
      <w:vertAlign w:val="superscript"/>
    </w:rPr>
  </w:style>
  <w:style w:type="character" w:customStyle="1" w:styleId="Znakiprzypiswdolnych">
    <w:name w:val="Znaki przypisów dolnych"/>
    <w:uiPriority w:val="99"/>
    <w:rsid w:val="002D3A3D"/>
  </w:style>
  <w:style w:type="paragraph" w:customStyle="1" w:styleId="Style3">
    <w:name w:val="Style3"/>
    <w:basedOn w:val="Normalny"/>
    <w:uiPriority w:val="99"/>
    <w:rsid w:val="00225491"/>
    <w:pPr>
      <w:widowControl w:val="0"/>
      <w:autoSpaceDE w:val="0"/>
      <w:autoSpaceDN w:val="0"/>
      <w:adjustRightInd w:val="0"/>
      <w:spacing w:after="0" w:line="186" w:lineRule="exact"/>
      <w:ind w:firstLine="202"/>
      <w:jc w:val="both"/>
    </w:pPr>
    <w:rPr>
      <w:rFonts w:ascii="Arial" w:eastAsia="Times New Roman" w:hAnsi="Arial"/>
      <w:sz w:val="24"/>
      <w:szCs w:val="24"/>
      <w:lang w:eastAsia="pl-PL"/>
    </w:rPr>
  </w:style>
  <w:style w:type="character" w:customStyle="1" w:styleId="FontStyle12">
    <w:name w:val="Font Style12"/>
    <w:uiPriority w:val="99"/>
    <w:rsid w:val="00225491"/>
    <w:rPr>
      <w:rFonts w:ascii="Times New Roman" w:hAnsi="Times New Roman"/>
      <w:sz w:val="14"/>
    </w:rPr>
  </w:style>
  <w:style w:type="paragraph" w:styleId="Legenda">
    <w:name w:val="caption"/>
    <w:basedOn w:val="Normalny"/>
    <w:next w:val="Normalny"/>
    <w:uiPriority w:val="99"/>
    <w:qFormat/>
    <w:locked/>
    <w:rsid w:val="00225491"/>
    <w:pPr>
      <w:spacing w:after="0" w:line="240" w:lineRule="auto"/>
    </w:pPr>
    <w:rPr>
      <w:rFonts w:ascii="Times New Roman" w:eastAsia="Times New Roman" w:hAnsi="Times New Roman"/>
      <w:b/>
      <w:bCs/>
      <w:sz w:val="20"/>
      <w:szCs w:val="20"/>
      <w:lang w:eastAsia="pl-PL"/>
    </w:rPr>
  </w:style>
  <w:style w:type="paragraph" w:styleId="Tekstpodstawowy">
    <w:name w:val="Body Text"/>
    <w:basedOn w:val="Normalny"/>
    <w:link w:val="TekstpodstawowyZnak"/>
    <w:uiPriority w:val="99"/>
    <w:rsid w:val="0029192B"/>
    <w:pPr>
      <w:spacing w:after="120" w:line="240" w:lineRule="auto"/>
    </w:pPr>
    <w:rPr>
      <w:rFonts w:ascii="Times New Roman" w:eastAsia="Times New Roman" w:hAnsi="Times New Roman"/>
      <w:sz w:val="24"/>
      <w:szCs w:val="24"/>
      <w:lang w:eastAsia="pl-PL"/>
    </w:rPr>
  </w:style>
  <w:style w:type="character" w:customStyle="1" w:styleId="TekstpodstawowyZnak">
    <w:name w:val="Tekst podstawowy Znak"/>
    <w:basedOn w:val="Domylnaczcionkaakapitu"/>
    <w:link w:val="Tekstpodstawowy"/>
    <w:uiPriority w:val="99"/>
    <w:locked/>
    <w:rsid w:val="0029192B"/>
    <w:rPr>
      <w:rFonts w:ascii="Times New Roman" w:hAnsi="Times New Roman"/>
      <w:sz w:val="24"/>
    </w:rPr>
  </w:style>
  <w:style w:type="paragraph" w:styleId="Tekstdymka">
    <w:name w:val="Balloon Text"/>
    <w:basedOn w:val="Normalny"/>
    <w:link w:val="TekstdymkaZnak"/>
    <w:uiPriority w:val="99"/>
    <w:semiHidden/>
    <w:rsid w:val="00291DB4"/>
    <w:pPr>
      <w:spacing w:after="0" w:line="240" w:lineRule="auto"/>
    </w:pPr>
    <w:rPr>
      <w:rFonts w:ascii="Segoe UI" w:hAnsi="Segoe UI"/>
      <w:sz w:val="18"/>
      <w:szCs w:val="18"/>
    </w:rPr>
  </w:style>
  <w:style w:type="character" w:customStyle="1" w:styleId="TekstdymkaZnak">
    <w:name w:val="Tekst dymka Znak"/>
    <w:basedOn w:val="Domylnaczcionkaakapitu"/>
    <w:link w:val="Tekstdymka"/>
    <w:uiPriority w:val="99"/>
    <w:semiHidden/>
    <w:locked/>
    <w:rsid w:val="00291DB4"/>
    <w:rPr>
      <w:rFonts w:ascii="Segoe UI" w:hAnsi="Segoe UI"/>
      <w:sz w:val="18"/>
      <w:lang w:eastAsia="en-US"/>
    </w:rPr>
  </w:style>
  <w:style w:type="table" w:styleId="Tabela-Siatka">
    <w:name w:val="Table Grid"/>
    <w:basedOn w:val="Standardowy"/>
    <w:uiPriority w:val="39"/>
    <w:locked/>
    <w:rsid w:val="00D64E8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D64E8A"/>
    <w:pPr>
      <w:ind w:left="720"/>
      <w:contextualSpacing/>
    </w:pPr>
    <w:rPr>
      <w:rFonts w:eastAsia="Times New Roman"/>
    </w:rPr>
  </w:style>
  <w:style w:type="table" w:customStyle="1" w:styleId="Tabela-Siatka1">
    <w:name w:val="Tabela - Siatka1"/>
    <w:basedOn w:val="Standardowy"/>
    <w:next w:val="Tabela-Siatka"/>
    <w:uiPriority w:val="39"/>
    <w:rsid w:val="003C3594"/>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unhideWhenUsed/>
    <w:rsid w:val="00B20D6F"/>
  </w:style>
  <w:style w:type="table" w:customStyle="1" w:styleId="Tabela-Siatka2">
    <w:name w:val="Tabela - Siatka2"/>
    <w:basedOn w:val="Standardowy"/>
    <w:next w:val="Tabela-Siatka"/>
    <w:uiPriority w:val="39"/>
    <w:rsid w:val="00B20D6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B20D6F"/>
    <w:rPr>
      <w:sz w:val="16"/>
      <w:szCs w:val="16"/>
    </w:rPr>
  </w:style>
  <w:style w:type="paragraph" w:customStyle="1" w:styleId="Tekstkomentarza1">
    <w:name w:val="Tekst komentarza1"/>
    <w:basedOn w:val="Normalny"/>
    <w:next w:val="Tekstkomentarza"/>
    <w:link w:val="TekstkomentarzaZnak"/>
    <w:uiPriority w:val="99"/>
    <w:semiHidden/>
    <w:unhideWhenUsed/>
    <w:rsid w:val="00B20D6F"/>
    <w:pPr>
      <w:spacing w:line="240" w:lineRule="auto"/>
    </w:pPr>
    <w:rPr>
      <w:sz w:val="20"/>
      <w:szCs w:val="20"/>
      <w:lang w:eastAsia="pl-PL"/>
    </w:rPr>
  </w:style>
  <w:style w:type="character" w:customStyle="1" w:styleId="TekstkomentarzaZnak">
    <w:name w:val="Tekst komentarza Znak"/>
    <w:basedOn w:val="Domylnaczcionkaakapitu"/>
    <w:link w:val="Tekstkomentarza1"/>
    <w:uiPriority w:val="99"/>
    <w:semiHidden/>
    <w:rsid w:val="00B20D6F"/>
    <w:rPr>
      <w:sz w:val="20"/>
      <w:szCs w:val="20"/>
    </w:rPr>
  </w:style>
  <w:style w:type="paragraph" w:customStyle="1" w:styleId="Tematkomentarza1">
    <w:name w:val="Temat komentarza1"/>
    <w:basedOn w:val="Tekstkomentarza"/>
    <w:next w:val="Tekstkomentarza"/>
    <w:uiPriority w:val="99"/>
    <w:semiHidden/>
    <w:unhideWhenUsed/>
    <w:rsid w:val="00B20D6F"/>
    <w:rPr>
      <w:b/>
      <w:bCs/>
    </w:rPr>
  </w:style>
  <w:style w:type="character" w:customStyle="1" w:styleId="TematkomentarzaZnak">
    <w:name w:val="Temat komentarza Znak"/>
    <w:basedOn w:val="TekstkomentarzaZnak"/>
    <w:link w:val="Tematkomentarza"/>
    <w:uiPriority w:val="99"/>
    <w:semiHidden/>
    <w:rsid w:val="00B20D6F"/>
    <w:rPr>
      <w:b/>
      <w:bCs/>
      <w:sz w:val="20"/>
      <w:szCs w:val="20"/>
    </w:rPr>
  </w:style>
  <w:style w:type="paragraph" w:styleId="Tekstkomentarza">
    <w:name w:val="annotation text"/>
    <w:basedOn w:val="Normalny"/>
    <w:link w:val="TekstkomentarzaZnak1"/>
    <w:uiPriority w:val="99"/>
    <w:semiHidden/>
    <w:unhideWhenUsed/>
    <w:rsid w:val="00B20D6F"/>
    <w:pPr>
      <w:spacing w:line="240" w:lineRule="auto"/>
    </w:pPr>
    <w:rPr>
      <w:sz w:val="20"/>
      <w:szCs w:val="20"/>
    </w:rPr>
  </w:style>
  <w:style w:type="character" w:customStyle="1" w:styleId="TekstkomentarzaZnak1">
    <w:name w:val="Tekst komentarza Znak1"/>
    <w:basedOn w:val="Domylnaczcionkaakapitu"/>
    <w:link w:val="Tekstkomentarza"/>
    <w:uiPriority w:val="99"/>
    <w:semiHidden/>
    <w:rsid w:val="00B20D6F"/>
    <w:rPr>
      <w:sz w:val="20"/>
      <w:szCs w:val="20"/>
      <w:lang w:eastAsia="en-US"/>
    </w:rPr>
  </w:style>
  <w:style w:type="paragraph" w:styleId="Tematkomentarza">
    <w:name w:val="annotation subject"/>
    <w:basedOn w:val="Tekstkomentarza"/>
    <w:next w:val="Tekstkomentarza"/>
    <w:link w:val="TematkomentarzaZnak"/>
    <w:uiPriority w:val="99"/>
    <w:semiHidden/>
    <w:unhideWhenUsed/>
    <w:rsid w:val="00B20D6F"/>
    <w:rPr>
      <w:b/>
      <w:bCs/>
      <w:lang w:eastAsia="pl-PL"/>
    </w:rPr>
  </w:style>
  <w:style w:type="character" w:customStyle="1" w:styleId="TematkomentarzaZnak1">
    <w:name w:val="Temat komentarza Znak1"/>
    <w:basedOn w:val="TekstkomentarzaZnak1"/>
    <w:uiPriority w:val="99"/>
    <w:semiHidden/>
    <w:rsid w:val="00B20D6F"/>
    <w:rPr>
      <w:b/>
      <w:bCs/>
      <w:sz w:val="20"/>
      <w:szCs w:val="20"/>
      <w:lang w:eastAsia="en-US"/>
    </w:rPr>
  </w:style>
  <w:style w:type="table" w:customStyle="1" w:styleId="Tabela-Siatka3">
    <w:name w:val="Tabela - Siatka3"/>
    <w:basedOn w:val="Standardowy"/>
    <w:next w:val="Tabela-Siatka"/>
    <w:rsid w:val="0016598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rsid w:val="00227FE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285F8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85F84"/>
    <w:rPr>
      <w:sz w:val="20"/>
      <w:szCs w:val="20"/>
      <w:lang w:eastAsia="en-US"/>
    </w:rPr>
  </w:style>
  <w:style w:type="character" w:styleId="Odwoanieprzypisukocowego">
    <w:name w:val="endnote reference"/>
    <w:basedOn w:val="Domylnaczcionkaakapitu"/>
    <w:uiPriority w:val="99"/>
    <w:semiHidden/>
    <w:unhideWhenUsed/>
    <w:rsid w:val="00285F84"/>
    <w:rPr>
      <w:vertAlign w:val="superscript"/>
    </w:rPr>
  </w:style>
  <w:style w:type="paragraph" w:customStyle="1" w:styleId="p0">
    <w:name w:val="p0"/>
    <w:basedOn w:val="Normalny"/>
    <w:rsid w:val="006C5711"/>
    <w:pPr>
      <w:spacing w:after="150" w:line="240" w:lineRule="auto"/>
    </w:pPr>
    <w:rPr>
      <w:rFonts w:ascii="Times New Roman" w:eastAsia="Times New Roman" w:hAnsi="Times New Roman"/>
      <w:sz w:val="24"/>
      <w:szCs w:val="24"/>
      <w:lang w:eastAsia="pl-PL"/>
    </w:rPr>
  </w:style>
  <w:style w:type="character" w:styleId="Uwydatnienie">
    <w:name w:val="Emphasis"/>
    <w:basedOn w:val="Domylnaczcionkaakapitu"/>
    <w:uiPriority w:val="20"/>
    <w:qFormat/>
    <w:locked/>
    <w:rsid w:val="00965FA0"/>
    <w:rPr>
      <w:i/>
      <w:iCs/>
    </w:rPr>
  </w:style>
  <w:style w:type="table" w:customStyle="1" w:styleId="Jasnasiatkaakcent11">
    <w:name w:val="Jasna siatka — akcent 11"/>
    <w:basedOn w:val="Standardowy"/>
    <w:uiPriority w:val="62"/>
    <w:rsid w:val="00817A4E"/>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Jasnecieniowanieakcent3">
    <w:name w:val="Light Shading Accent 3"/>
    <w:basedOn w:val="Standardowy"/>
    <w:uiPriority w:val="60"/>
    <w:rsid w:val="007C2B8B"/>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Jasnasiatkaakcent6">
    <w:name w:val="Light Grid Accent 6"/>
    <w:basedOn w:val="Standardowy"/>
    <w:uiPriority w:val="62"/>
    <w:rsid w:val="007C2B8B"/>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Poprawka">
    <w:name w:val="Revision"/>
    <w:hidden/>
    <w:uiPriority w:val="99"/>
    <w:semiHidden/>
    <w:rsid w:val="00A84362"/>
    <w:rPr>
      <w:sz w:val="22"/>
      <w:szCs w:val="22"/>
      <w:lang w:eastAsia="en-US"/>
    </w:rPr>
  </w:style>
  <w:style w:type="paragraph" w:styleId="NormalnyWeb">
    <w:name w:val="Normal (Web)"/>
    <w:basedOn w:val="Normalny"/>
    <w:uiPriority w:val="99"/>
    <w:unhideWhenUsed/>
    <w:rsid w:val="00A20EAD"/>
    <w:pPr>
      <w:spacing w:before="100" w:beforeAutospacing="1" w:after="100" w:afterAutospacing="1" w:line="240" w:lineRule="auto"/>
    </w:pPr>
    <w:rPr>
      <w:rFonts w:ascii="Times New Roman" w:eastAsia="Times New Roman" w:hAnsi="Times New Roman"/>
      <w:sz w:val="24"/>
      <w:szCs w:val="24"/>
      <w:lang w:eastAsia="pl-PL"/>
    </w:rPr>
  </w:style>
  <w:style w:type="character" w:styleId="Pogrubienie">
    <w:name w:val="Strong"/>
    <w:basedOn w:val="Domylnaczcionkaakapitu"/>
    <w:uiPriority w:val="22"/>
    <w:qFormat/>
    <w:locked/>
    <w:rsid w:val="00817AD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nhideWhenUsed="0"/>
    <w:lsdException w:name="caption" w:locked="1" w:semiHidden="0" w:uiPriority="0" w:unhideWhenUsed="0" w:qFormat="1"/>
    <w:lsdException w:name="footnote reference" w:locked="1" w:semiHidden="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ny">
    <w:name w:val="Normal"/>
    <w:qFormat/>
    <w:rsid w:val="00803B31"/>
    <w:pPr>
      <w:spacing w:after="160" w:line="259" w:lineRule="auto"/>
    </w:pPr>
    <w:rPr>
      <w:sz w:val="22"/>
      <w:szCs w:val="22"/>
      <w:lang w:eastAsia="en-US"/>
    </w:rPr>
  </w:style>
  <w:style w:type="paragraph" w:styleId="Nagwek1">
    <w:name w:val="heading 1"/>
    <w:basedOn w:val="Normalny"/>
    <w:next w:val="Normalny"/>
    <w:link w:val="Nagwek1Znak"/>
    <w:uiPriority w:val="99"/>
    <w:qFormat/>
    <w:rsid w:val="00874F49"/>
    <w:pPr>
      <w:keepNext/>
      <w:keepLines/>
      <w:spacing w:before="240" w:after="0"/>
      <w:outlineLvl w:val="0"/>
    </w:pPr>
    <w:rPr>
      <w:rFonts w:ascii="Calibri Light" w:hAnsi="Calibri Light"/>
      <w:color w:val="2E74B5"/>
      <w:sz w:val="32"/>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874F49"/>
    <w:rPr>
      <w:rFonts w:ascii="Calibri Light" w:hAnsi="Calibri Light"/>
      <w:color w:val="2E74B5"/>
      <w:sz w:val="32"/>
    </w:rPr>
  </w:style>
  <w:style w:type="character" w:styleId="Hipercze">
    <w:name w:val="Hyperlink"/>
    <w:basedOn w:val="Domylnaczcionkaakapitu"/>
    <w:uiPriority w:val="99"/>
    <w:rsid w:val="00E5789B"/>
    <w:rPr>
      <w:rFonts w:cs="Times New Roman"/>
      <w:color w:val="0000FF"/>
      <w:u w:val="single"/>
    </w:rPr>
  </w:style>
  <w:style w:type="paragraph" w:styleId="Nagwek">
    <w:name w:val="header"/>
    <w:basedOn w:val="Normalny"/>
    <w:link w:val="NagwekZnak"/>
    <w:uiPriority w:val="99"/>
    <w:rsid w:val="002148CA"/>
    <w:pPr>
      <w:tabs>
        <w:tab w:val="center" w:pos="4536"/>
        <w:tab w:val="right" w:pos="9072"/>
      </w:tabs>
      <w:spacing w:after="0" w:line="240" w:lineRule="auto"/>
    </w:pPr>
    <w:rPr>
      <w:sz w:val="20"/>
      <w:szCs w:val="20"/>
      <w:lang w:eastAsia="pl-PL"/>
    </w:rPr>
  </w:style>
  <w:style w:type="character" w:customStyle="1" w:styleId="NagwekZnak">
    <w:name w:val="Nagłówek Znak"/>
    <w:basedOn w:val="Domylnaczcionkaakapitu"/>
    <w:link w:val="Nagwek"/>
    <w:uiPriority w:val="99"/>
    <w:locked/>
    <w:rsid w:val="002148CA"/>
    <w:rPr>
      <w:rFonts w:cs="Times New Roman"/>
    </w:rPr>
  </w:style>
  <w:style w:type="paragraph" w:styleId="Stopka">
    <w:name w:val="footer"/>
    <w:basedOn w:val="Normalny"/>
    <w:link w:val="StopkaZnak"/>
    <w:uiPriority w:val="99"/>
    <w:rsid w:val="002148CA"/>
    <w:pPr>
      <w:tabs>
        <w:tab w:val="center" w:pos="4536"/>
        <w:tab w:val="right" w:pos="9072"/>
      </w:tabs>
      <w:spacing w:after="0" w:line="240" w:lineRule="auto"/>
    </w:pPr>
    <w:rPr>
      <w:sz w:val="20"/>
      <w:szCs w:val="20"/>
      <w:lang w:eastAsia="pl-PL"/>
    </w:rPr>
  </w:style>
  <w:style w:type="character" w:customStyle="1" w:styleId="StopkaZnak">
    <w:name w:val="Stopka Znak"/>
    <w:basedOn w:val="Domylnaczcionkaakapitu"/>
    <w:link w:val="Stopka"/>
    <w:uiPriority w:val="99"/>
    <w:locked/>
    <w:rsid w:val="002148CA"/>
    <w:rPr>
      <w:rFonts w:cs="Times New Roman"/>
    </w:rPr>
  </w:style>
  <w:style w:type="paragraph" w:styleId="Akapitzlist">
    <w:name w:val="List Paragraph"/>
    <w:basedOn w:val="Normalny"/>
    <w:uiPriority w:val="34"/>
    <w:qFormat/>
    <w:rsid w:val="002148CA"/>
    <w:pPr>
      <w:ind w:left="720"/>
      <w:contextualSpacing/>
    </w:pPr>
  </w:style>
  <w:style w:type="paragraph" w:styleId="Nagwekspisutreci">
    <w:name w:val="TOC Heading"/>
    <w:basedOn w:val="Nagwek1"/>
    <w:next w:val="Normalny"/>
    <w:uiPriority w:val="39"/>
    <w:qFormat/>
    <w:rsid w:val="00874F49"/>
    <w:pPr>
      <w:outlineLvl w:val="9"/>
    </w:pPr>
  </w:style>
  <w:style w:type="paragraph" w:styleId="Spistreci1">
    <w:name w:val="toc 1"/>
    <w:basedOn w:val="Normalny"/>
    <w:next w:val="Normalny"/>
    <w:autoRedefine/>
    <w:uiPriority w:val="39"/>
    <w:rsid w:val="00227FEE"/>
    <w:pPr>
      <w:tabs>
        <w:tab w:val="left" w:pos="426"/>
        <w:tab w:val="right" w:leader="dot" w:pos="9060"/>
      </w:tabs>
      <w:spacing w:after="100"/>
      <w:ind w:left="426" w:hanging="426"/>
    </w:pPr>
  </w:style>
  <w:style w:type="paragraph" w:styleId="Spistreci2">
    <w:name w:val="toc 2"/>
    <w:basedOn w:val="Normalny"/>
    <w:next w:val="Normalny"/>
    <w:autoRedefine/>
    <w:uiPriority w:val="39"/>
    <w:rsid w:val="000554FC"/>
    <w:pPr>
      <w:tabs>
        <w:tab w:val="left" w:pos="426"/>
        <w:tab w:val="right" w:leader="dot" w:pos="9060"/>
      </w:tabs>
      <w:spacing w:after="100"/>
      <w:ind w:left="426" w:hanging="206"/>
    </w:pPr>
  </w:style>
  <w:style w:type="paragraph" w:styleId="Spistreci3">
    <w:name w:val="toc 3"/>
    <w:basedOn w:val="Normalny"/>
    <w:next w:val="Normalny"/>
    <w:autoRedefine/>
    <w:uiPriority w:val="39"/>
    <w:rsid w:val="00BC0196"/>
    <w:pPr>
      <w:spacing w:after="100"/>
      <w:ind w:left="440"/>
    </w:pPr>
  </w:style>
  <w:style w:type="paragraph" w:styleId="Tekstprzypisudolnego">
    <w:name w:val="footnote text"/>
    <w:basedOn w:val="Normalny"/>
    <w:link w:val="TekstprzypisudolnegoZnak"/>
    <w:uiPriority w:val="99"/>
    <w:rsid w:val="002D3A3D"/>
    <w:rPr>
      <w:sz w:val="20"/>
      <w:szCs w:val="20"/>
    </w:rPr>
  </w:style>
  <w:style w:type="character" w:customStyle="1" w:styleId="TekstprzypisudolnegoZnak">
    <w:name w:val="Tekst przypisu dolnego Znak"/>
    <w:basedOn w:val="Domylnaczcionkaakapitu"/>
    <w:link w:val="Tekstprzypisudolnego"/>
    <w:uiPriority w:val="99"/>
    <w:locked/>
    <w:rsid w:val="002D3A3D"/>
    <w:rPr>
      <w:sz w:val="20"/>
      <w:lang w:eastAsia="en-US"/>
    </w:rPr>
  </w:style>
  <w:style w:type="character" w:styleId="Odwoanieprzypisudolnego">
    <w:name w:val="footnote reference"/>
    <w:aliases w:val="FZ"/>
    <w:basedOn w:val="Domylnaczcionkaakapitu"/>
    <w:uiPriority w:val="99"/>
    <w:rsid w:val="002D3A3D"/>
    <w:rPr>
      <w:rFonts w:cs="Times New Roman"/>
      <w:vertAlign w:val="superscript"/>
    </w:rPr>
  </w:style>
  <w:style w:type="character" w:customStyle="1" w:styleId="Znakiprzypiswdolnych">
    <w:name w:val="Znaki przypisów dolnych"/>
    <w:uiPriority w:val="99"/>
    <w:rsid w:val="002D3A3D"/>
  </w:style>
  <w:style w:type="paragraph" w:customStyle="1" w:styleId="Style3">
    <w:name w:val="Style3"/>
    <w:basedOn w:val="Normalny"/>
    <w:uiPriority w:val="99"/>
    <w:rsid w:val="00225491"/>
    <w:pPr>
      <w:widowControl w:val="0"/>
      <w:autoSpaceDE w:val="0"/>
      <w:autoSpaceDN w:val="0"/>
      <w:adjustRightInd w:val="0"/>
      <w:spacing w:after="0" w:line="186" w:lineRule="exact"/>
      <w:ind w:firstLine="202"/>
      <w:jc w:val="both"/>
    </w:pPr>
    <w:rPr>
      <w:rFonts w:ascii="Arial" w:eastAsia="Times New Roman" w:hAnsi="Arial"/>
      <w:sz w:val="24"/>
      <w:szCs w:val="24"/>
      <w:lang w:eastAsia="pl-PL"/>
    </w:rPr>
  </w:style>
  <w:style w:type="character" w:customStyle="1" w:styleId="FontStyle12">
    <w:name w:val="Font Style12"/>
    <w:uiPriority w:val="99"/>
    <w:rsid w:val="00225491"/>
    <w:rPr>
      <w:rFonts w:ascii="Times New Roman" w:hAnsi="Times New Roman"/>
      <w:sz w:val="14"/>
    </w:rPr>
  </w:style>
  <w:style w:type="paragraph" w:styleId="Legenda">
    <w:name w:val="caption"/>
    <w:basedOn w:val="Normalny"/>
    <w:next w:val="Normalny"/>
    <w:uiPriority w:val="99"/>
    <w:qFormat/>
    <w:locked/>
    <w:rsid w:val="00225491"/>
    <w:pPr>
      <w:spacing w:after="0" w:line="240" w:lineRule="auto"/>
    </w:pPr>
    <w:rPr>
      <w:rFonts w:ascii="Times New Roman" w:eastAsia="Times New Roman" w:hAnsi="Times New Roman"/>
      <w:b/>
      <w:bCs/>
      <w:sz w:val="20"/>
      <w:szCs w:val="20"/>
      <w:lang w:eastAsia="pl-PL"/>
    </w:rPr>
  </w:style>
  <w:style w:type="paragraph" w:styleId="Tekstpodstawowy">
    <w:name w:val="Body Text"/>
    <w:basedOn w:val="Normalny"/>
    <w:link w:val="TekstpodstawowyZnak"/>
    <w:uiPriority w:val="99"/>
    <w:rsid w:val="0029192B"/>
    <w:pPr>
      <w:spacing w:after="120" w:line="240" w:lineRule="auto"/>
    </w:pPr>
    <w:rPr>
      <w:rFonts w:ascii="Times New Roman" w:eastAsia="Times New Roman" w:hAnsi="Times New Roman"/>
      <w:sz w:val="24"/>
      <w:szCs w:val="24"/>
      <w:lang w:eastAsia="pl-PL"/>
    </w:rPr>
  </w:style>
  <w:style w:type="character" w:customStyle="1" w:styleId="TekstpodstawowyZnak">
    <w:name w:val="Tekst podstawowy Znak"/>
    <w:basedOn w:val="Domylnaczcionkaakapitu"/>
    <w:link w:val="Tekstpodstawowy"/>
    <w:uiPriority w:val="99"/>
    <w:locked/>
    <w:rsid w:val="0029192B"/>
    <w:rPr>
      <w:rFonts w:ascii="Times New Roman" w:hAnsi="Times New Roman"/>
      <w:sz w:val="24"/>
    </w:rPr>
  </w:style>
  <w:style w:type="paragraph" w:styleId="Tekstdymka">
    <w:name w:val="Balloon Text"/>
    <w:basedOn w:val="Normalny"/>
    <w:link w:val="TekstdymkaZnak"/>
    <w:uiPriority w:val="99"/>
    <w:semiHidden/>
    <w:rsid w:val="00291DB4"/>
    <w:pPr>
      <w:spacing w:after="0" w:line="240" w:lineRule="auto"/>
    </w:pPr>
    <w:rPr>
      <w:rFonts w:ascii="Segoe UI" w:hAnsi="Segoe UI"/>
      <w:sz w:val="18"/>
      <w:szCs w:val="18"/>
    </w:rPr>
  </w:style>
  <w:style w:type="character" w:customStyle="1" w:styleId="TekstdymkaZnak">
    <w:name w:val="Tekst dymka Znak"/>
    <w:basedOn w:val="Domylnaczcionkaakapitu"/>
    <w:link w:val="Tekstdymka"/>
    <w:uiPriority w:val="99"/>
    <w:semiHidden/>
    <w:locked/>
    <w:rsid w:val="00291DB4"/>
    <w:rPr>
      <w:rFonts w:ascii="Segoe UI" w:hAnsi="Segoe UI"/>
      <w:sz w:val="18"/>
      <w:lang w:eastAsia="en-US"/>
    </w:rPr>
  </w:style>
  <w:style w:type="table" w:styleId="Tabela-Siatka">
    <w:name w:val="Table Grid"/>
    <w:basedOn w:val="Standardowy"/>
    <w:uiPriority w:val="39"/>
    <w:locked/>
    <w:rsid w:val="00D64E8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D64E8A"/>
    <w:pPr>
      <w:ind w:left="720"/>
      <w:contextualSpacing/>
    </w:pPr>
    <w:rPr>
      <w:rFonts w:eastAsia="Times New Roman"/>
    </w:rPr>
  </w:style>
  <w:style w:type="table" w:customStyle="1" w:styleId="Tabela-Siatka1">
    <w:name w:val="Tabela - Siatka1"/>
    <w:basedOn w:val="Standardowy"/>
    <w:next w:val="Tabela-Siatka"/>
    <w:uiPriority w:val="39"/>
    <w:rsid w:val="003C3594"/>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unhideWhenUsed/>
    <w:rsid w:val="00B20D6F"/>
  </w:style>
  <w:style w:type="table" w:customStyle="1" w:styleId="Tabela-Siatka2">
    <w:name w:val="Tabela - Siatka2"/>
    <w:basedOn w:val="Standardowy"/>
    <w:next w:val="Tabela-Siatka"/>
    <w:uiPriority w:val="39"/>
    <w:rsid w:val="00B20D6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iPriority w:val="99"/>
    <w:semiHidden/>
    <w:unhideWhenUsed/>
    <w:rsid w:val="00B20D6F"/>
    <w:rPr>
      <w:sz w:val="16"/>
      <w:szCs w:val="16"/>
    </w:rPr>
  </w:style>
  <w:style w:type="paragraph" w:customStyle="1" w:styleId="Tekstkomentarza1">
    <w:name w:val="Tekst komentarza1"/>
    <w:basedOn w:val="Normalny"/>
    <w:next w:val="Tekstkomentarza"/>
    <w:link w:val="TekstkomentarzaZnak"/>
    <w:uiPriority w:val="99"/>
    <w:semiHidden/>
    <w:unhideWhenUsed/>
    <w:rsid w:val="00B20D6F"/>
    <w:pPr>
      <w:spacing w:line="240" w:lineRule="auto"/>
    </w:pPr>
    <w:rPr>
      <w:sz w:val="20"/>
      <w:szCs w:val="20"/>
      <w:lang w:eastAsia="pl-PL"/>
    </w:rPr>
  </w:style>
  <w:style w:type="character" w:customStyle="1" w:styleId="TekstkomentarzaZnak">
    <w:name w:val="Tekst komentarza Znak"/>
    <w:basedOn w:val="Domylnaczcionkaakapitu"/>
    <w:link w:val="Tekstkomentarza1"/>
    <w:uiPriority w:val="99"/>
    <w:semiHidden/>
    <w:rsid w:val="00B20D6F"/>
    <w:rPr>
      <w:sz w:val="20"/>
      <w:szCs w:val="20"/>
    </w:rPr>
  </w:style>
  <w:style w:type="paragraph" w:customStyle="1" w:styleId="Tematkomentarza1">
    <w:name w:val="Temat komentarza1"/>
    <w:basedOn w:val="Tekstkomentarza"/>
    <w:next w:val="Tekstkomentarza"/>
    <w:uiPriority w:val="99"/>
    <w:semiHidden/>
    <w:unhideWhenUsed/>
    <w:rsid w:val="00B20D6F"/>
    <w:rPr>
      <w:b/>
      <w:bCs/>
    </w:rPr>
  </w:style>
  <w:style w:type="character" w:customStyle="1" w:styleId="TematkomentarzaZnak">
    <w:name w:val="Temat komentarza Znak"/>
    <w:basedOn w:val="TekstkomentarzaZnak"/>
    <w:link w:val="Tematkomentarza"/>
    <w:uiPriority w:val="99"/>
    <w:semiHidden/>
    <w:rsid w:val="00B20D6F"/>
    <w:rPr>
      <w:b/>
      <w:bCs/>
      <w:sz w:val="20"/>
      <w:szCs w:val="20"/>
    </w:rPr>
  </w:style>
  <w:style w:type="paragraph" w:styleId="Tekstkomentarza">
    <w:name w:val="annotation text"/>
    <w:basedOn w:val="Normalny"/>
    <w:link w:val="TekstkomentarzaZnak1"/>
    <w:uiPriority w:val="99"/>
    <w:semiHidden/>
    <w:unhideWhenUsed/>
    <w:rsid w:val="00B20D6F"/>
    <w:pPr>
      <w:spacing w:line="240" w:lineRule="auto"/>
    </w:pPr>
    <w:rPr>
      <w:sz w:val="20"/>
      <w:szCs w:val="20"/>
    </w:rPr>
  </w:style>
  <w:style w:type="character" w:customStyle="1" w:styleId="TekstkomentarzaZnak1">
    <w:name w:val="Tekst komentarza Znak1"/>
    <w:basedOn w:val="Domylnaczcionkaakapitu"/>
    <w:link w:val="Tekstkomentarza"/>
    <w:uiPriority w:val="99"/>
    <w:semiHidden/>
    <w:rsid w:val="00B20D6F"/>
    <w:rPr>
      <w:sz w:val="20"/>
      <w:szCs w:val="20"/>
      <w:lang w:eastAsia="en-US"/>
    </w:rPr>
  </w:style>
  <w:style w:type="paragraph" w:styleId="Tematkomentarza">
    <w:name w:val="annotation subject"/>
    <w:basedOn w:val="Tekstkomentarza"/>
    <w:next w:val="Tekstkomentarza"/>
    <w:link w:val="TematkomentarzaZnak"/>
    <w:uiPriority w:val="99"/>
    <w:semiHidden/>
    <w:unhideWhenUsed/>
    <w:rsid w:val="00B20D6F"/>
    <w:rPr>
      <w:b/>
      <w:bCs/>
      <w:lang w:eastAsia="pl-PL"/>
    </w:rPr>
  </w:style>
  <w:style w:type="character" w:customStyle="1" w:styleId="TematkomentarzaZnak1">
    <w:name w:val="Temat komentarza Znak1"/>
    <w:basedOn w:val="TekstkomentarzaZnak1"/>
    <w:uiPriority w:val="99"/>
    <w:semiHidden/>
    <w:rsid w:val="00B20D6F"/>
    <w:rPr>
      <w:b/>
      <w:bCs/>
      <w:sz w:val="20"/>
      <w:szCs w:val="20"/>
      <w:lang w:eastAsia="en-US"/>
    </w:rPr>
  </w:style>
  <w:style w:type="table" w:customStyle="1" w:styleId="Tabela-Siatka3">
    <w:name w:val="Tabela - Siatka3"/>
    <w:basedOn w:val="Standardowy"/>
    <w:next w:val="Tabela-Siatka"/>
    <w:rsid w:val="0016598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next w:val="Tabela-Siatka"/>
    <w:rsid w:val="00227FE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285F84"/>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85F84"/>
    <w:rPr>
      <w:sz w:val="20"/>
      <w:szCs w:val="20"/>
      <w:lang w:eastAsia="en-US"/>
    </w:rPr>
  </w:style>
  <w:style w:type="character" w:styleId="Odwoanieprzypisukocowego">
    <w:name w:val="endnote reference"/>
    <w:basedOn w:val="Domylnaczcionkaakapitu"/>
    <w:uiPriority w:val="99"/>
    <w:semiHidden/>
    <w:unhideWhenUsed/>
    <w:rsid w:val="00285F84"/>
    <w:rPr>
      <w:vertAlign w:val="superscript"/>
    </w:rPr>
  </w:style>
  <w:style w:type="paragraph" w:customStyle="1" w:styleId="p0">
    <w:name w:val="p0"/>
    <w:basedOn w:val="Normalny"/>
    <w:rsid w:val="006C5711"/>
    <w:pPr>
      <w:spacing w:after="150" w:line="240" w:lineRule="auto"/>
    </w:pPr>
    <w:rPr>
      <w:rFonts w:ascii="Times New Roman" w:eastAsia="Times New Roman" w:hAnsi="Times New Roman"/>
      <w:sz w:val="24"/>
      <w:szCs w:val="24"/>
      <w:lang w:eastAsia="pl-PL"/>
    </w:rPr>
  </w:style>
  <w:style w:type="character" w:styleId="Uwydatnienie">
    <w:name w:val="Emphasis"/>
    <w:basedOn w:val="Domylnaczcionkaakapitu"/>
    <w:uiPriority w:val="20"/>
    <w:qFormat/>
    <w:locked/>
    <w:rsid w:val="00965FA0"/>
    <w:rPr>
      <w:i/>
      <w:iCs/>
    </w:rPr>
  </w:style>
  <w:style w:type="table" w:customStyle="1" w:styleId="Jasnasiatkaakcent11">
    <w:name w:val="Jasna siatka — akcent 11"/>
    <w:basedOn w:val="Standardowy"/>
    <w:uiPriority w:val="62"/>
    <w:rsid w:val="00817A4E"/>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Jasnecieniowanieakcent3">
    <w:name w:val="Light Shading Accent 3"/>
    <w:basedOn w:val="Standardowy"/>
    <w:uiPriority w:val="60"/>
    <w:rsid w:val="007C2B8B"/>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Jasnasiatkaakcent6">
    <w:name w:val="Light Grid Accent 6"/>
    <w:basedOn w:val="Standardowy"/>
    <w:uiPriority w:val="62"/>
    <w:rsid w:val="007C2B8B"/>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Poprawka">
    <w:name w:val="Revision"/>
    <w:hidden/>
    <w:uiPriority w:val="99"/>
    <w:semiHidden/>
    <w:rsid w:val="00A84362"/>
    <w:rPr>
      <w:sz w:val="22"/>
      <w:szCs w:val="22"/>
      <w:lang w:eastAsia="en-US"/>
    </w:rPr>
  </w:style>
  <w:style w:type="paragraph" w:styleId="NormalnyWeb">
    <w:name w:val="Normal (Web)"/>
    <w:basedOn w:val="Normalny"/>
    <w:uiPriority w:val="99"/>
    <w:unhideWhenUsed/>
    <w:rsid w:val="00A20EAD"/>
    <w:pPr>
      <w:spacing w:before="100" w:beforeAutospacing="1" w:after="100" w:afterAutospacing="1" w:line="240" w:lineRule="auto"/>
    </w:pPr>
    <w:rPr>
      <w:rFonts w:ascii="Times New Roman" w:eastAsia="Times New Roman" w:hAnsi="Times New Roman"/>
      <w:sz w:val="24"/>
      <w:szCs w:val="24"/>
      <w:lang w:eastAsia="pl-PL"/>
    </w:rPr>
  </w:style>
  <w:style w:type="character" w:styleId="Pogrubienie">
    <w:name w:val="Strong"/>
    <w:basedOn w:val="Domylnaczcionkaakapitu"/>
    <w:uiPriority w:val="22"/>
    <w:qFormat/>
    <w:locked/>
    <w:rsid w:val="00817AD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296042">
      <w:bodyDiv w:val="1"/>
      <w:marLeft w:val="0"/>
      <w:marRight w:val="0"/>
      <w:marTop w:val="0"/>
      <w:marBottom w:val="0"/>
      <w:divBdr>
        <w:top w:val="none" w:sz="0" w:space="0" w:color="auto"/>
        <w:left w:val="none" w:sz="0" w:space="0" w:color="auto"/>
        <w:bottom w:val="none" w:sz="0" w:space="0" w:color="auto"/>
        <w:right w:val="none" w:sz="0" w:space="0" w:color="auto"/>
      </w:divBdr>
    </w:div>
    <w:div w:id="111215646">
      <w:bodyDiv w:val="1"/>
      <w:marLeft w:val="0"/>
      <w:marRight w:val="0"/>
      <w:marTop w:val="0"/>
      <w:marBottom w:val="0"/>
      <w:divBdr>
        <w:top w:val="none" w:sz="0" w:space="0" w:color="auto"/>
        <w:left w:val="none" w:sz="0" w:space="0" w:color="auto"/>
        <w:bottom w:val="none" w:sz="0" w:space="0" w:color="auto"/>
        <w:right w:val="none" w:sz="0" w:space="0" w:color="auto"/>
      </w:divBdr>
    </w:div>
    <w:div w:id="184484095">
      <w:bodyDiv w:val="1"/>
      <w:marLeft w:val="0"/>
      <w:marRight w:val="0"/>
      <w:marTop w:val="0"/>
      <w:marBottom w:val="0"/>
      <w:divBdr>
        <w:top w:val="none" w:sz="0" w:space="0" w:color="auto"/>
        <w:left w:val="none" w:sz="0" w:space="0" w:color="auto"/>
        <w:bottom w:val="none" w:sz="0" w:space="0" w:color="auto"/>
        <w:right w:val="none" w:sz="0" w:space="0" w:color="auto"/>
      </w:divBdr>
    </w:div>
    <w:div w:id="231046030">
      <w:bodyDiv w:val="1"/>
      <w:marLeft w:val="0"/>
      <w:marRight w:val="0"/>
      <w:marTop w:val="0"/>
      <w:marBottom w:val="0"/>
      <w:divBdr>
        <w:top w:val="none" w:sz="0" w:space="0" w:color="auto"/>
        <w:left w:val="none" w:sz="0" w:space="0" w:color="auto"/>
        <w:bottom w:val="none" w:sz="0" w:space="0" w:color="auto"/>
        <w:right w:val="none" w:sz="0" w:space="0" w:color="auto"/>
      </w:divBdr>
    </w:div>
    <w:div w:id="233511510">
      <w:bodyDiv w:val="1"/>
      <w:marLeft w:val="0"/>
      <w:marRight w:val="0"/>
      <w:marTop w:val="0"/>
      <w:marBottom w:val="0"/>
      <w:divBdr>
        <w:top w:val="none" w:sz="0" w:space="0" w:color="auto"/>
        <w:left w:val="none" w:sz="0" w:space="0" w:color="auto"/>
        <w:bottom w:val="none" w:sz="0" w:space="0" w:color="auto"/>
        <w:right w:val="none" w:sz="0" w:space="0" w:color="auto"/>
      </w:divBdr>
    </w:div>
    <w:div w:id="257838336">
      <w:bodyDiv w:val="1"/>
      <w:marLeft w:val="0"/>
      <w:marRight w:val="0"/>
      <w:marTop w:val="0"/>
      <w:marBottom w:val="0"/>
      <w:divBdr>
        <w:top w:val="none" w:sz="0" w:space="0" w:color="auto"/>
        <w:left w:val="none" w:sz="0" w:space="0" w:color="auto"/>
        <w:bottom w:val="none" w:sz="0" w:space="0" w:color="auto"/>
        <w:right w:val="none" w:sz="0" w:space="0" w:color="auto"/>
      </w:divBdr>
    </w:div>
    <w:div w:id="271935839">
      <w:bodyDiv w:val="1"/>
      <w:marLeft w:val="0"/>
      <w:marRight w:val="0"/>
      <w:marTop w:val="0"/>
      <w:marBottom w:val="0"/>
      <w:divBdr>
        <w:top w:val="none" w:sz="0" w:space="0" w:color="auto"/>
        <w:left w:val="none" w:sz="0" w:space="0" w:color="auto"/>
        <w:bottom w:val="none" w:sz="0" w:space="0" w:color="auto"/>
        <w:right w:val="none" w:sz="0" w:space="0" w:color="auto"/>
      </w:divBdr>
    </w:div>
    <w:div w:id="275793041">
      <w:marLeft w:val="0"/>
      <w:marRight w:val="0"/>
      <w:marTop w:val="0"/>
      <w:marBottom w:val="0"/>
      <w:divBdr>
        <w:top w:val="none" w:sz="0" w:space="0" w:color="auto"/>
        <w:left w:val="none" w:sz="0" w:space="0" w:color="auto"/>
        <w:bottom w:val="none" w:sz="0" w:space="0" w:color="auto"/>
        <w:right w:val="none" w:sz="0" w:space="0" w:color="auto"/>
      </w:divBdr>
      <w:divsChild>
        <w:div w:id="275793042">
          <w:marLeft w:val="105"/>
          <w:marRight w:val="105"/>
          <w:marTop w:val="105"/>
          <w:marBottom w:val="105"/>
          <w:divBdr>
            <w:top w:val="none" w:sz="0" w:space="0" w:color="auto"/>
            <w:left w:val="none" w:sz="0" w:space="0" w:color="auto"/>
            <w:bottom w:val="none" w:sz="0" w:space="0" w:color="auto"/>
            <w:right w:val="none" w:sz="0" w:space="0" w:color="auto"/>
          </w:divBdr>
        </w:div>
      </w:divsChild>
    </w:div>
    <w:div w:id="393042532">
      <w:bodyDiv w:val="1"/>
      <w:marLeft w:val="0"/>
      <w:marRight w:val="0"/>
      <w:marTop w:val="0"/>
      <w:marBottom w:val="0"/>
      <w:divBdr>
        <w:top w:val="none" w:sz="0" w:space="0" w:color="auto"/>
        <w:left w:val="none" w:sz="0" w:space="0" w:color="auto"/>
        <w:bottom w:val="none" w:sz="0" w:space="0" w:color="auto"/>
        <w:right w:val="none" w:sz="0" w:space="0" w:color="auto"/>
      </w:divBdr>
    </w:div>
    <w:div w:id="443230328">
      <w:bodyDiv w:val="1"/>
      <w:marLeft w:val="0"/>
      <w:marRight w:val="0"/>
      <w:marTop w:val="0"/>
      <w:marBottom w:val="0"/>
      <w:divBdr>
        <w:top w:val="none" w:sz="0" w:space="0" w:color="auto"/>
        <w:left w:val="none" w:sz="0" w:space="0" w:color="auto"/>
        <w:bottom w:val="none" w:sz="0" w:space="0" w:color="auto"/>
        <w:right w:val="none" w:sz="0" w:space="0" w:color="auto"/>
      </w:divBdr>
    </w:div>
    <w:div w:id="481579152">
      <w:bodyDiv w:val="1"/>
      <w:marLeft w:val="0"/>
      <w:marRight w:val="0"/>
      <w:marTop w:val="0"/>
      <w:marBottom w:val="0"/>
      <w:divBdr>
        <w:top w:val="none" w:sz="0" w:space="0" w:color="auto"/>
        <w:left w:val="none" w:sz="0" w:space="0" w:color="auto"/>
        <w:bottom w:val="none" w:sz="0" w:space="0" w:color="auto"/>
        <w:right w:val="none" w:sz="0" w:space="0" w:color="auto"/>
      </w:divBdr>
    </w:div>
    <w:div w:id="505482398">
      <w:bodyDiv w:val="1"/>
      <w:marLeft w:val="0"/>
      <w:marRight w:val="0"/>
      <w:marTop w:val="0"/>
      <w:marBottom w:val="0"/>
      <w:divBdr>
        <w:top w:val="none" w:sz="0" w:space="0" w:color="auto"/>
        <w:left w:val="none" w:sz="0" w:space="0" w:color="auto"/>
        <w:bottom w:val="none" w:sz="0" w:space="0" w:color="auto"/>
        <w:right w:val="none" w:sz="0" w:space="0" w:color="auto"/>
      </w:divBdr>
    </w:div>
    <w:div w:id="607397794">
      <w:bodyDiv w:val="1"/>
      <w:marLeft w:val="0"/>
      <w:marRight w:val="0"/>
      <w:marTop w:val="0"/>
      <w:marBottom w:val="0"/>
      <w:divBdr>
        <w:top w:val="none" w:sz="0" w:space="0" w:color="auto"/>
        <w:left w:val="none" w:sz="0" w:space="0" w:color="auto"/>
        <w:bottom w:val="none" w:sz="0" w:space="0" w:color="auto"/>
        <w:right w:val="none" w:sz="0" w:space="0" w:color="auto"/>
      </w:divBdr>
    </w:div>
    <w:div w:id="633145306">
      <w:bodyDiv w:val="1"/>
      <w:marLeft w:val="0"/>
      <w:marRight w:val="0"/>
      <w:marTop w:val="0"/>
      <w:marBottom w:val="0"/>
      <w:divBdr>
        <w:top w:val="none" w:sz="0" w:space="0" w:color="auto"/>
        <w:left w:val="none" w:sz="0" w:space="0" w:color="auto"/>
        <w:bottom w:val="none" w:sz="0" w:space="0" w:color="auto"/>
        <w:right w:val="none" w:sz="0" w:space="0" w:color="auto"/>
      </w:divBdr>
    </w:div>
    <w:div w:id="670453315">
      <w:bodyDiv w:val="1"/>
      <w:marLeft w:val="0"/>
      <w:marRight w:val="0"/>
      <w:marTop w:val="0"/>
      <w:marBottom w:val="0"/>
      <w:divBdr>
        <w:top w:val="none" w:sz="0" w:space="0" w:color="auto"/>
        <w:left w:val="none" w:sz="0" w:space="0" w:color="auto"/>
        <w:bottom w:val="none" w:sz="0" w:space="0" w:color="auto"/>
        <w:right w:val="none" w:sz="0" w:space="0" w:color="auto"/>
      </w:divBdr>
    </w:div>
    <w:div w:id="699741260">
      <w:bodyDiv w:val="1"/>
      <w:marLeft w:val="0"/>
      <w:marRight w:val="0"/>
      <w:marTop w:val="0"/>
      <w:marBottom w:val="0"/>
      <w:divBdr>
        <w:top w:val="none" w:sz="0" w:space="0" w:color="auto"/>
        <w:left w:val="none" w:sz="0" w:space="0" w:color="auto"/>
        <w:bottom w:val="none" w:sz="0" w:space="0" w:color="auto"/>
        <w:right w:val="none" w:sz="0" w:space="0" w:color="auto"/>
      </w:divBdr>
    </w:div>
    <w:div w:id="765806886">
      <w:bodyDiv w:val="1"/>
      <w:marLeft w:val="0"/>
      <w:marRight w:val="0"/>
      <w:marTop w:val="0"/>
      <w:marBottom w:val="0"/>
      <w:divBdr>
        <w:top w:val="none" w:sz="0" w:space="0" w:color="auto"/>
        <w:left w:val="none" w:sz="0" w:space="0" w:color="auto"/>
        <w:bottom w:val="none" w:sz="0" w:space="0" w:color="auto"/>
        <w:right w:val="none" w:sz="0" w:space="0" w:color="auto"/>
      </w:divBdr>
    </w:div>
    <w:div w:id="897520517">
      <w:bodyDiv w:val="1"/>
      <w:marLeft w:val="0"/>
      <w:marRight w:val="0"/>
      <w:marTop w:val="0"/>
      <w:marBottom w:val="0"/>
      <w:divBdr>
        <w:top w:val="none" w:sz="0" w:space="0" w:color="auto"/>
        <w:left w:val="none" w:sz="0" w:space="0" w:color="auto"/>
        <w:bottom w:val="none" w:sz="0" w:space="0" w:color="auto"/>
        <w:right w:val="none" w:sz="0" w:space="0" w:color="auto"/>
      </w:divBdr>
    </w:div>
    <w:div w:id="916480378">
      <w:bodyDiv w:val="1"/>
      <w:marLeft w:val="0"/>
      <w:marRight w:val="0"/>
      <w:marTop w:val="0"/>
      <w:marBottom w:val="0"/>
      <w:divBdr>
        <w:top w:val="none" w:sz="0" w:space="0" w:color="auto"/>
        <w:left w:val="none" w:sz="0" w:space="0" w:color="auto"/>
        <w:bottom w:val="none" w:sz="0" w:space="0" w:color="auto"/>
        <w:right w:val="none" w:sz="0" w:space="0" w:color="auto"/>
      </w:divBdr>
    </w:div>
    <w:div w:id="921839691">
      <w:bodyDiv w:val="1"/>
      <w:marLeft w:val="0"/>
      <w:marRight w:val="0"/>
      <w:marTop w:val="0"/>
      <w:marBottom w:val="0"/>
      <w:divBdr>
        <w:top w:val="none" w:sz="0" w:space="0" w:color="auto"/>
        <w:left w:val="none" w:sz="0" w:space="0" w:color="auto"/>
        <w:bottom w:val="none" w:sz="0" w:space="0" w:color="auto"/>
        <w:right w:val="none" w:sz="0" w:space="0" w:color="auto"/>
      </w:divBdr>
    </w:div>
    <w:div w:id="946429028">
      <w:bodyDiv w:val="1"/>
      <w:marLeft w:val="0"/>
      <w:marRight w:val="0"/>
      <w:marTop w:val="0"/>
      <w:marBottom w:val="0"/>
      <w:divBdr>
        <w:top w:val="none" w:sz="0" w:space="0" w:color="auto"/>
        <w:left w:val="none" w:sz="0" w:space="0" w:color="auto"/>
        <w:bottom w:val="none" w:sz="0" w:space="0" w:color="auto"/>
        <w:right w:val="none" w:sz="0" w:space="0" w:color="auto"/>
      </w:divBdr>
    </w:div>
    <w:div w:id="1070158627">
      <w:bodyDiv w:val="1"/>
      <w:marLeft w:val="0"/>
      <w:marRight w:val="0"/>
      <w:marTop w:val="0"/>
      <w:marBottom w:val="0"/>
      <w:divBdr>
        <w:top w:val="none" w:sz="0" w:space="0" w:color="auto"/>
        <w:left w:val="none" w:sz="0" w:space="0" w:color="auto"/>
        <w:bottom w:val="none" w:sz="0" w:space="0" w:color="auto"/>
        <w:right w:val="none" w:sz="0" w:space="0" w:color="auto"/>
      </w:divBdr>
    </w:div>
    <w:div w:id="1083797999">
      <w:bodyDiv w:val="1"/>
      <w:marLeft w:val="0"/>
      <w:marRight w:val="0"/>
      <w:marTop w:val="0"/>
      <w:marBottom w:val="0"/>
      <w:divBdr>
        <w:top w:val="none" w:sz="0" w:space="0" w:color="auto"/>
        <w:left w:val="none" w:sz="0" w:space="0" w:color="auto"/>
        <w:bottom w:val="none" w:sz="0" w:space="0" w:color="auto"/>
        <w:right w:val="none" w:sz="0" w:space="0" w:color="auto"/>
      </w:divBdr>
    </w:div>
    <w:div w:id="1105537215">
      <w:bodyDiv w:val="1"/>
      <w:marLeft w:val="0"/>
      <w:marRight w:val="0"/>
      <w:marTop w:val="0"/>
      <w:marBottom w:val="0"/>
      <w:divBdr>
        <w:top w:val="none" w:sz="0" w:space="0" w:color="auto"/>
        <w:left w:val="none" w:sz="0" w:space="0" w:color="auto"/>
        <w:bottom w:val="none" w:sz="0" w:space="0" w:color="auto"/>
        <w:right w:val="none" w:sz="0" w:space="0" w:color="auto"/>
      </w:divBdr>
    </w:div>
    <w:div w:id="1157722154">
      <w:bodyDiv w:val="1"/>
      <w:marLeft w:val="0"/>
      <w:marRight w:val="0"/>
      <w:marTop w:val="0"/>
      <w:marBottom w:val="0"/>
      <w:divBdr>
        <w:top w:val="none" w:sz="0" w:space="0" w:color="auto"/>
        <w:left w:val="none" w:sz="0" w:space="0" w:color="auto"/>
        <w:bottom w:val="none" w:sz="0" w:space="0" w:color="auto"/>
        <w:right w:val="none" w:sz="0" w:space="0" w:color="auto"/>
      </w:divBdr>
    </w:div>
    <w:div w:id="1219322094">
      <w:bodyDiv w:val="1"/>
      <w:marLeft w:val="0"/>
      <w:marRight w:val="0"/>
      <w:marTop w:val="0"/>
      <w:marBottom w:val="0"/>
      <w:divBdr>
        <w:top w:val="none" w:sz="0" w:space="0" w:color="auto"/>
        <w:left w:val="none" w:sz="0" w:space="0" w:color="auto"/>
        <w:bottom w:val="none" w:sz="0" w:space="0" w:color="auto"/>
        <w:right w:val="none" w:sz="0" w:space="0" w:color="auto"/>
      </w:divBdr>
    </w:div>
    <w:div w:id="1251350313">
      <w:bodyDiv w:val="1"/>
      <w:marLeft w:val="0"/>
      <w:marRight w:val="0"/>
      <w:marTop w:val="0"/>
      <w:marBottom w:val="0"/>
      <w:divBdr>
        <w:top w:val="none" w:sz="0" w:space="0" w:color="auto"/>
        <w:left w:val="none" w:sz="0" w:space="0" w:color="auto"/>
        <w:bottom w:val="none" w:sz="0" w:space="0" w:color="auto"/>
        <w:right w:val="none" w:sz="0" w:space="0" w:color="auto"/>
      </w:divBdr>
    </w:div>
    <w:div w:id="1329207944">
      <w:bodyDiv w:val="1"/>
      <w:marLeft w:val="0"/>
      <w:marRight w:val="0"/>
      <w:marTop w:val="0"/>
      <w:marBottom w:val="0"/>
      <w:divBdr>
        <w:top w:val="none" w:sz="0" w:space="0" w:color="auto"/>
        <w:left w:val="none" w:sz="0" w:space="0" w:color="auto"/>
        <w:bottom w:val="none" w:sz="0" w:space="0" w:color="auto"/>
        <w:right w:val="none" w:sz="0" w:space="0" w:color="auto"/>
      </w:divBdr>
    </w:div>
    <w:div w:id="1379860542">
      <w:bodyDiv w:val="1"/>
      <w:marLeft w:val="0"/>
      <w:marRight w:val="0"/>
      <w:marTop w:val="0"/>
      <w:marBottom w:val="0"/>
      <w:divBdr>
        <w:top w:val="none" w:sz="0" w:space="0" w:color="auto"/>
        <w:left w:val="none" w:sz="0" w:space="0" w:color="auto"/>
        <w:bottom w:val="none" w:sz="0" w:space="0" w:color="auto"/>
        <w:right w:val="none" w:sz="0" w:space="0" w:color="auto"/>
      </w:divBdr>
    </w:div>
    <w:div w:id="1381399205">
      <w:bodyDiv w:val="1"/>
      <w:marLeft w:val="0"/>
      <w:marRight w:val="0"/>
      <w:marTop w:val="0"/>
      <w:marBottom w:val="0"/>
      <w:divBdr>
        <w:top w:val="none" w:sz="0" w:space="0" w:color="auto"/>
        <w:left w:val="none" w:sz="0" w:space="0" w:color="auto"/>
        <w:bottom w:val="none" w:sz="0" w:space="0" w:color="auto"/>
        <w:right w:val="none" w:sz="0" w:space="0" w:color="auto"/>
      </w:divBdr>
      <w:divsChild>
        <w:div w:id="804010590">
          <w:marLeft w:val="0"/>
          <w:marRight w:val="0"/>
          <w:marTop w:val="0"/>
          <w:marBottom w:val="0"/>
          <w:divBdr>
            <w:top w:val="none" w:sz="0" w:space="0" w:color="auto"/>
            <w:left w:val="none" w:sz="0" w:space="0" w:color="auto"/>
            <w:bottom w:val="none" w:sz="0" w:space="0" w:color="auto"/>
            <w:right w:val="none" w:sz="0" w:space="0" w:color="auto"/>
          </w:divBdr>
          <w:divsChild>
            <w:div w:id="2071224281">
              <w:marLeft w:val="0"/>
              <w:marRight w:val="0"/>
              <w:marTop w:val="0"/>
              <w:marBottom w:val="0"/>
              <w:divBdr>
                <w:top w:val="none" w:sz="0" w:space="0" w:color="auto"/>
                <w:left w:val="none" w:sz="0" w:space="0" w:color="auto"/>
                <w:bottom w:val="none" w:sz="0" w:space="0" w:color="auto"/>
                <w:right w:val="none" w:sz="0" w:space="0" w:color="auto"/>
              </w:divBdr>
              <w:divsChild>
                <w:div w:id="240871765">
                  <w:marLeft w:val="0"/>
                  <w:marRight w:val="0"/>
                  <w:marTop w:val="0"/>
                  <w:marBottom w:val="0"/>
                  <w:divBdr>
                    <w:top w:val="none" w:sz="0" w:space="0" w:color="auto"/>
                    <w:left w:val="none" w:sz="0" w:space="0" w:color="auto"/>
                    <w:bottom w:val="none" w:sz="0" w:space="0" w:color="auto"/>
                    <w:right w:val="none" w:sz="0" w:space="0" w:color="auto"/>
                  </w:divBdr>
                  <w:divsChild>
                    <w:div w:id="491219689">
                      <w:marLeft w:val="0"/>
                      <w:marRight w:val="0"/>
                      <w:marTop w:val="0"/>
                      <w:marBottom w:val="0"/>
                      <w:divBdr>
                        <w:top w:val="none" w:sz="0" w:space="0" w:color="auto"/>
                        <w:left w:val="none" w:sz="0" w:space="0" w:color="auto"/>
                        <w:bottom w:val="none" w:sz="0" w:space="0" w:color="auto"/>
                        <w:right w:val="none" w:sz="0" w:space="0" w:color="auto"/>
                      </w:divBdr>
                      <w:divsChild>
                        <w:div w:id="995451815">
                          <w:marLeft w:val="0"/>
                          <w:marRight w:val="0"/>
                          <w:marTop w:val="0"/>
                          <w:marBottom w:val="0"/>
                          <w:divBdr>
                            <w:top w:val="none" w:sz="0" w:space="0" w:color="auto"/>
                            <w:left w:val="none" w:sz="0" w:space="0" w:color="auto"/>
                            <w:bottom w:val="none" w:sz="0" w:space="0" w:color="auto"/>
                            <w:right w:val="none" w:sz="0" w:space="0" w:color="auto"/>
                          </w:divBdr>
                          <w:divsChild>
                            <w:div w:id="313070988">
                              <w:marLeft w:val="0"/>
                              <w:marRight w:val="0"/>
                              <w:marTop w:val="0"/>
                              <w:marBottom w:val="0"/>
                              <w:divBdr>
                                <w:top w:val="none" w:sz="0" w:space="0" w:color="auto"/>
                                <w:left w:val="none" w:sz="0" w:space="0" w:color="auto"/>
                                <w:bottom w:val="none" w:sz="0" w:space="0" w:color="auto"/>
                                <w:right w:val="none" w:sz="0" w:space="0" w:color="auto"/>
                              </w:divBdr>
                              <w:divsChild>
                                <w:div w:id="111595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5907827">
      <w:bodyDiv w:val="1"/>
      <w:marLeft w:val="0"/>
      <w:marRight w:val="0"/>
      <w:marTop w:val="0"/>
      <w:marBottom w:val="0"/>
      <w:divBdr>
        <w:top w:val="none" w:sz="0" w:space="0" w:color="auto"/>
        <w:left w:val="none" w:sz="0" w:space="0" w:color="auto"/>
        <w:bottom w:val="none" w:sz="0" w:space="0" w:color="auto"/>
        <w:right w:val="none" w:sz="0" w:space="0" w:color="auto"/>
      </w:divBdr>
    </w:div>
    <w:div w:id="1424959949">
      <w:bodyDiv w:val="1"/>
      <w:marLeft w:val="0"/>
      <w:marRight w:val="0"/>
      <w:marTop w:val="0"/>
      <w:marBottom w:val="0"/>
      <w:divBdr>
        <w:top w:val="none" w:sz="0" w:space="0" w:color="auto"/>
        <w:left w:val="none" w:sz="0" w:space="0" w:color="auto"/>
        <w:bottom w:val="none" w:sz="0" w:space="0" w:color="auto"/>
        <w:right w:val="none" w:sz="0" w:space="0" w:color="auto"/>
      </w:divBdr>
    </w:div>
    <w:div w:id="1499535449">
      <w:bodyDiv w:val="1"/>
      <w:marLeft w:val="0"/>
      <w:marRight w:val="0"/>
      <w:marTop w:val="0"/>
      <w:marBottom w:val="0"/>
      <w:divBdr>
        <w:top w:val="none" w:sz="0" w:space="0" w:color="auto"/>
        <w:left w:val="none" w:sz="0" w:space="0" w:color="auto"/>
        <w:bottom w:val="none" w:sz="0" w:space="0" w:color="auto"/>
        <w:right w:val="none" w:sz="0" w:space="0" w:color="auto"/>
      </w:divBdr>
    </w:div>
    <w:div w:id="1505971894">
      <w:bodyDiv w:val="1"/>
      <w:marLeft w:val="0"/>
      <w:marRight w:val="0"/>
      <w:marTop w:val="0"/>
      <w:marBottom w:val="0"/>
      <w:divBdr>
        <w:top w:val="none" w:sz="0" w:space="0" w:color="auto"/>
        <w:left w:val="none" w:sz="0" w:space="0" w:color="auto"/>
        <w:bottom w:val="none" w:sz="0" w:space="0" w:color="auto"/>
        <w:right w:val="none" w:sz="0" w:space="0" w:color="auto"/>
      </w:divBdr>
    </w:div>
    <w:div w:id="1572232396">
      <w:bodyDiv w:val="1"/>
      <w:marLeft w:val="0"/>
      <w:marRight w:val="0"/>
      <w:marTop w:val="0"/>
      <w:marBottom w:val="0"/>
      <w:divBdr>
        <w:top w:val="none" w:sz="0" w:space="0" w:color="auto"/>
        <w:left w:val="none" w:sz="0" w:space="0" w:color="auto"/>
        <w:bottom w:val="none" w:sz="0" w:space="0" w:color="auto"/>
        <w:right w:val="none" w:sz="0" w:space="0" w:color="auto"/>
      </w:divBdr>
    </w:div>
    <w:div w:id="1585725883">
      <w:bodyDiv w:val="1"/>
      <w:marLeft w:val="0"/>
      <w:marRight w:val="0"/>
      <w:marTop w:val="0"/>
      <w:marBottom w:val="0"/>
      <w:divBdr>
        <w:top w:val="none" w:sz="0" w:space="0" w:color="auto"/>
        <w:left w:val="none" w:sz="0" w:space="0" w:color="auto"/>
        <w:bottom w:val="none" w:sz="0" w:space="0" w:color="auto"/>
        <w:right w:val="none" w:sz="0" w:space="0" w:color="auto"/>
      </w:divBdr>
    </w:div>
    <w:div w:id="1588004251">
      <w:bodyDiv w:val="1"/>
      <w:marLeft w:val="0"/>
      <w:marRight w:val="0"/>
      <w:marTop w:val="0"/>
      <w:marBottom w:val="0"/>
      <w:divBdr>
        <w:top w:val="none" w:sz="0" w:space="0" w:color="auto"/>
        <w:left w:val="none" w:sz="0" w:space="0" w:color="auto"/>
        <w:bottom w:val="none" w:sz="0" w:space="0" w:color="auto"/>
        <w:right w:val="none" w:sz="0" w:space="0" w:color="auto"/>
      </w:divBdr>
    </w:div>
    <w:div w:id="1591352945">
      <w:bodyDiv w:val="1"/>
      <w:marLeft w:val="0"/>
      <w:marRight w:val="0"/>
      <w:marTop w:val="0"/>
      <w:marBottom w:val="0"/>
      <w:divBdr>
        <w:top w:val="none" w:sz="0" w:space="0" w:color="auto"/>
        <w:left w:val="none" w:sz="0" w:space="0" w:color="auto"/>
        <w:bottom w:val="none" w:sz="0" w:space="0" w:color="auto"/>
        <w:right w:val="none" w:sz="0" w:space="0" w:color="auto"/>
      </w:divBdr>
    </w:div>
    <w:div w:id="1654681321">
      <w:bodyDiv w:val="1"/>
      <w:marLeft w:val="0"/>
      <w:marRight w:val="0"/>
      <w:marTop w:val="0"/>
      <w:marBottom w:val="0"/>
      <w:divBdr>
        <w:top w:val="none" w:sz="0" w:space="0" w:color="auto"/>
        <w:left w:val="none" w:sz="0" w:space="0" w:color="auto"/>
        <w:bottom w:val="none" w:sz="0" w:space="0" w:color="auto"/>
        <w:right w:val="none" w:sz="0" w:space="0" w:color="auto"/>
      </w:divBdr>
    </w:div>
    <w:div w:id="1695380727">
      <w:bodyDiv w:val="1"/>
      <w:marLeft w:val="0"/>
      <w:marRight w:val="0"/>
      <w:marTop w:val="0"/>
      <w:marBottom w:val="0"/>
      <w:divBdr>
        <w:top w:val="none" w:sz="0" w:space="0" w:color="auto"/>
        <w:left w:val="none" w:sz="0" w:space="0" w:color="auto"/>
        <w:bottom w:val="none" w:sz="0" w:space="0" w:color="auto"/>
        <w:right w:val="none" w:sz="0" w:space="0" w:color="auto"/>
      </w:divBdr>
    </w:div>
    <w:div w:id="1760254447">
      <w:bodyDiv w:val="1"/>
      <w:marLeft w:val="0"/>
      <w:marRight w:val="0"/>
      <w:marTop w:val="0"/>
      <w:marBottom w:val="0"/>
      <w:divBdr>
        <w:top w:val="none" w:sz="0" w:space="0" w:color="auto"/>
        <w:left w:val="none" w:sz="0" w:space="0" w:color="auto"/>
        <w:bottom w:val="none" w:sz="0" w:space="0" w:color="auto"/>
        <w:right w:val="none" w:sz="0" w:space="0" w:color="auto"/>
      </w:divBdr>
    </w:div>
    <w:div w:id="1933974232">
      <w:bodyDiv w:val="1"/>
      <w:marLeft w:val="0"/>
      <w:marRight w:val="0"/>
      <w:marTop w:val="0"/>
      <w:marBottom w:val="0"/>
      <w:divBdr>
        <w:top w:val="none" w:sz="0" w:space="0" w:color="auto"/>
        <w:left w:val="none" w:sz="0" w:space="0" w:color="auto"/>
        <w:bottom w:val="none" w:sz="0" w:space="0" w:color="auto"/>
        <w:right w:val="none" w:sz="0" w:space="0" w:color="auto"/>
      </w:divBdr>
    </w:div>
    <w:div w:id="1936091170">
      <w:bodyDiv w:val="1"/>
      <w:marLeft w:val="0"/>
      <w:marRight w:val="0"/>
      <w:marTop w:val="0"/>
      <w:marBottom w:val="0"/>
      <w:divBdr>
        <w:top w:val="none" w:sz="0" w:space="0" w:color="auto"/>
        <w:left w:val="none" w:sz="0" w:space="0" w:color="auto"/>
        <w:bottom w:val="none" w:sz="0" w:space="0" w:color="auto"/>
        <w:right w:val="none" w:sz="0" w:space="0" w:color="auto"/>
      </w:divBdr>
    </w:div>
    <w:div w:id="1953584600">
      <w:bodyDiv w:val="1"/>
      <w:marLeft w:val="0"/>
      <w:marRight w:val="0"/>
      <w:marTop w:val="0"/>
      <w:marBottom w:val="0"/>
      <w:divBdr>
        <w:top w:val="none" w:sz="0" w:space="0" w:color="auto"/>
        <w:left w:val="none" w:sz="0" w:space="0" w:color="auto"/>
        <w:bottom w:val="none" w:sz="0" w:space="0" w:color="auto"/>
        <w:right w:val="none" w:sz="0" w:space="0" w:color="auto"/>
      </w:divBdr>
      <w:divsChild>
        <w:div w:id="477579620">
          <w:marLeft w:val="105"/>
          <w:marRight w:val="105"/>
          <w:marTop w:val="105"/>
          <w:marBottom w:val="105"/>
          <w:divBdr>
            <w:top w:val="none" w:sz="0" w:space="0" w:color="auto"/>
            <w:left w:val="none" w:sz="0" w:space="0" w:color="auto"/>
            <w:bottom w:val="none" w:sz="0" w:space="0" w:color="auto"/>
            <w:right w:val="none" w:sz="0" w:space="0" w:color="auto"/>
          </w:divBdr>
        </w:div>
      </w:divsChild>
    </w:div>
    <w:div w:id="2000497714">
      <w:bodyDiv w:val="1"/>
      <w:marLeft w:val="0"/>
      <w:marRight w:val="0"/>
      <w:marTop w:val="0"/>
      <w:marBottom w:val="0"/>
      <w:divBdr>
        <w:top w:val="none" w:sz="0" w:space="0" w:color="auto"/>
        <w:left w:val="none" w:sz="0" w:space="0" w:color="auto"/>
        <w:bottom w:val="none" w:sz="0" w:space="0" w:color="auto"/>
        <w:right w:val="none" w:sz="0" w:space="0" w:color="auto"/>
      </w:divBdr>
    </w:div>
    <w:div w:id="2036955679">
      <w:bodyDiv w:val="1"/>
      <w:marLeft w:val="0"/>
      <w:marRight w:val="0"/>
      <w:marTop w:val="0"/>
      <w:marBottom w:val="0"/>
      <w:divBdr>
        <w:top w:val="none" w:sz="0" w:space="0" w:color="auto"/>
        <w:left w:val="none" w:sz="0" w:space="0" w:color="auto"/>
        <w:bottom w:val="none" w:sz="0" w:space="0" w:color="auto"/>
        <w:right w:val="none" w:sz="0" w:space="0" w:color="auto"/>
      </w:divBdr>
    </w:div>
    <w:div w:id="2071683451">
      <w:bodyDiv w:val="1"/>
      <w:marLeft w:val="0"/>
      <w:marRight w:val="0"/>
      <w:marTop w:val="0"/>
      <w:marBottom w:val="0"/>
      <w:divBdr>
        <w:top w:val="none" w:sz="0" w:space="0" w:color="auto"/>
        <w:left w:val="none" w:sz="0" w:space="0" w:color="auto"/>
        <w:bottom w:val="none" w:sz="0" w:space="0" w:color="auto"/>
        <w:right w:val="none" w:sz="0" w:space="0" w:color="auto"/>
      </w:divBdr>
    </w:div>
    <w:div w:id="2075270263">
      <w:bodyDiv w:val="1"/>
      <w:marLeft w:val="0"/>
      <w:marRight w:val="0"/>
      <w:marTop w:val="0"/>
      <w:marBottom w:val="0"/>
      <w:divBdr>
        <w:top w:val="none" w:sz="0" w:space="0" w:color="auto"/>
        <w:left w:val="none" w:sz="0" w:space="0" w:color="auto"/>
        <w:bottom w:val="none" w:sz="0" w:space="0" w:color="auto"/>
        <w:right w:val="none" w:sz="0" w:space="0" w:color="auto"/>
      </w:divBdr>
    </w:div>
    <w:div w:id="2083748423">
      <w:bodyDiv w:val="1"/>
      <w:marLeft w:val="0"/>
      <w:marRight w:val="0"/>
      <w:marTop w:val="0"/>
      <w:marBottom w:val="0"/>
      <w:divBdr>
        <w:top w:val="none" w:sz="0" w:space="0" w:color="auto"/>
        <w:left w:val="none" w:sz="0" w:space="0" w:color="auto"/>
        <w:bottom w:val="none" w:sz="0" w:space="0" w:color="auto"/>
        <w:right w:val="none" w:sz="0" w:space="0" w:color="auto"/>
      </w:divBdr>
    </w:div>
    <w:div w:id="2109691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image" Target="media/image5.emf"/><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ip.mf.gov.pl/sip/" TargetMode="External"/><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chart" Target="charts/chart3.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chart" Target="charts/chart5.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file:///\\10.12.90.9\AppData_Kierownictwo\3050wiaa\AppData\Roaming\Microsoft\Excel\wyliczenia%20do%20spraw%20KIP%20(version%202).xlsb"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oleObject" Target="file:///\\10.12.90.9\K-3050wiaa\z\Anna\Sprawozdania%20do%20IS\Sprawozdania%20z%20KIP\wyliczenia%20do%20spraw%20KIP%20-%20wykresy%20.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4"/>
    </mc:Choice>
    <mc:Fallback>
      <c:style val="4"/>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pl-PL" sz="1400">
                <a:solidFill>
                  <a:srgbClr val="C00000"/>
                </a:solidFill>
              </a:rPr>
              <a:t>Odebrane połączenia telefoniczne w latach 2007-2015 </a:t>
            </a:r>
          </a:p>
        </c:rich>
      </c:tx>
      <c:overlay val="0"/>
      <c:spPr>
        <a:noFill/>
        <a:ln>
          <a:noFill/>
        </a:ln>
        <a:effectLst/>
      </c:spPr>
    </c:title>
    <c:autoTitleDeleted val="0"/>
    <c:plotArea>
      <c:layout/>
      <c:barChart>
        <c:barDir val="col"/>
        <c:grouping val="clustered"/>
        <c:varyColors val="1"/>
        <c:ser>
          <c:idx val="1"/>
          <c:order val="0"/>
          <c:spPr>
            <a:gradFill flip="none" rotWithShape="1">
              <a:gsLst>
                <a:gs pos="0">
                  <a:srgbClr val="A50021"/>
                </a:gs>
                <a:gs pos="69000">
                  <a:srgbClr val="ED7D31">
                    <a:lumMod val="100000"/>
                  </a:srgbClr>
                </a:gs>
              </a:gsLst>
              <a:path path="circle">
                <a:fillToRect l="100000" t="100000"/>
              </a:path>
              <a:tileRect r="-100000" b="-100000"/>
            </a:gradFill>
          </c:spPr>
          <c:invertIfNegative val="0"/>
          <c:dPt>
            <c:idx val="0"/>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1"/>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2"/>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3"/>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4"/>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5"/>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6"/>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7"/>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8"/>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Pt>
            <c:idx val="9"/>
            <c:invertIfNegative val="0"/>
            <c:bubble3D val="0"/>
            <c:spPr>
              <a:gradFill flip="none" rotWithShape="1">
                <a:gsLst>
                  <a:gs pos="0">
                    <a:srgbClr val="A50021"/>
                  </a:gs>
                  <a:gs pos="69000">
                    <a:srgbClr val="ED7D31">
                      <a:lumMod val="100000"/>
                    </a:srgbClr>
                  </a:gs>
                </a:gsLst>
                <a:path path="circle">
                  <a:fillToRect l="100000" t="100000"/>
                </a:path>
                <a:tileRect r="-100000" b="-100000"/>
              </a:gradFill>
              <a:ln w="9525" cap="flat" cmpd="sng" algn="ctr">
                <a:solidFill>
                  <a:schemeClr val="lt1">
                    <a:alpha val="50000"/>
                  </a:schemeClr>
                </a:solidFill>
                <a:round/>
              </a:ln>
              <a:effectLst/>
            </c:spPr>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Arkusz2!$A$13:$J$13</c:f>
              <c:strCache>
                <c:ptCount val="10"/>
                <c:pt idx="0">
                  <c:v>od lipca 2006</c:v>
                </c:pt>
                <c:pt idx="1">
                  <c:v>2007</c:v>
                </c:pt>
                <c:pt idx="2">
                  <c:v>2008</c:v>
                </c:pt>
                <c:pt idx="3">
                  <c:v>2009</c:v>
                </c:pt>
                <c:pt idx="4">
                  <c:v>2010</c:v>
                </c:pt>
                <c:pt idx="5">
                  <c:v>2011</c:v>
                </c:pt>
                <c:pt idx="6">
                  <c:v>2012</c:v>
                </c:pt>
                <c:pt idx="7">
                  <c:v>2013</c:v>
                </c:pt>
                <c:pt idx="8">
                  <c:v>2014</c:v>
                </c:pt>
                <c:pt idx="9">
                  <c:v>2015</c:v>
                </c:pt>
              </c:strCache>
            </c:strRef>
          </c:cat>
          <c:val>
            <c:numRef>
              <c:f>Arkusz2!$A$14:$J$14</c:f>
              <c:numCache>
                <c:formatCode>#,##0</c:formatCode>
                <c:ptCount val="10"/>
                <c:pt idx="0">
                  <c:v>119532</c:v>
                </c:pt>
                <c:pt idx="1">
                  <c:v>826958</c:v>
                </c:pt>
                <c:pt idx="2">
                  <c:v>1239715</c:v>
                </c:pt>
                <c:pt idx="3">
                  <c:v>1431301</c:v>
                </c:pt>
                <c:pt idx="4">
                  <c:v>1504074</c:v>
                </c:pt>
                <c:pt idx="5">
                  <c:v>1605191</c:v>
                </c:pt>
                <c:pt idx="6">
                  <c:v>1608226</c:v>
                </c:pt>
                <c:pt idx="7">
                  <c:v>1690444</c:v>
                </c:pt>
                <c:pt idx="8">
                  <c:v>1608720</c:v>
                </c:pt>
                <c:pt idx="9">
                  <c:v>1804141</c:v>
                </c:pt>
              </c:numCache>
            </c:numRef>
          </c:val>
        </c:ser>
        <c:dLbls>
          <c:showLegendKey val="0"/>
          <c:showVal val="1"/>
          <c:showCatName val="0"/>
          <c:showSerName val="0"/>
          <c:showPercent val="0"/>
          <c:showBubbleSize val="0"/>
        </c:dLbls>
        <c:gapWidth val="65"/>
        <c:axId val="148013440"/>
        <c:axId val="152871680"/>
      </c:barChart>
      <c:catAx>
        <c:axId val="14801344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1" i="0" u="none" strike="noStrike" kern="1200" cap="all" baseline="0">
                <a:solidFill>
                  <a:schemeClr val="accent2">
                    <a:lumMod val="75000"/>
                  </a:schemeClr>
                </a:solidFill>
                <a:latin typeface="+mn-lt"/>
                <a:ea typeface="+mn-ea"/>
                <a:cs typeface="+mn-cs"/>
              </a:defRPr>
            </a:pPr>
            <a:endParaRPr lang="pl-PL"/>
          </a:p>
        </c:txPr>
        <c:crossAx val="152871680"/>
        <c:crosses val="autoZero"/>
        <c:auto val="1"/>
        <c:lblAlgn val="ctr"/>
        <c:lblOffset val="100"/>
        <c:noMultiLvlLbl val="0"/>
      </c:catAx>
      <c:valAx>
        <c:axId val="15287168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one"/>
        <c:crossAx val="14801344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pl-PL" sz="1100" b="1"/>
              <a:t>Liczba rozmów w poszczególnych tytułach podatkowych w 2015r</a:t>
            </a:r>
            <a:r>
              <a:rPr lang="pl-PL" sz="1100"/>
              <a:t>. </a:t>
            </a:r>
          </a:p>
        </c:rich>
      </c:tx>
      <c:layout>
        <c:manualLayout>
          <c:xMode val="edge"/>
          <c:yMode val="edge"/>
          <c:x val="0.17278011587255931"/>
          <c:y val="1.5268729509921003E-2"/>
        </c:manualLayout>
      </c:layout>
      <c:overlay val="0"/>
      <c:spPr>
        <a:noFill/>
        <a:ln>
          <a:noFill/>
        </a:ln>
        <a:effectLst/>
      </c:spPr>
    </c:title>
    <c:autoTitleDeleted val="0"/>
    <c:view3D>
      <c:rotX val="30"/>
      <c:hPercent val="100"/>
      <c:rotY val="11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153700161721041"/>
          <c:y val="0.26036756597068983"/>
          <c:w val="0.78127876935590512"/>
          <c:h val="0.67219724846354789"/>
        </c:manualLayout>
      </c:layout>
      <c:pie3DChart>
        <c:varyColors val="1"/>
        <c:ser>
          <c:idx val="0"/>
          <c:order val="0"/>
          <c:tx>
            <c:strRef>
              <c:f>Sheet1!$A$2</c:f>
              <c:strCache>
                <c:ptCount val="1"/>
              </c:strCache>
            </c:strRef>
          </c:tx>
          <c:explosion val="14"/>
          <c:dPt>
            <c:idx val="0"/>
            <c:bubble3D val="0"/>
            <c:spPr>
              <a:solidFill>
                <a:srgbClr val="00B050"/>
              </a:solidFill>
              <a:ln w="25400">
                <a:solidFill>
                  <a:schemeClr val="lt1"/>
                </a:solidFill>
              </a:ln>
              <a:effectLst/>
              <a:sp3d contourW="25400">
                <a:contourClr>
                  <a:schemeClr val="lt1"/>
                </a:contourClr>
              </a:sp3d>
            </c:spPr>
          </c:dPt>
          <c:dPt>
            <c:idx val="1"/>
            <c:bubble3D val="0"/>
            <c:spPr>
              <a:solidFill>
                <a:schemeClr val="tx2"/>
              </a:solidFill>
              <a:ln w="25400">
                <a:solidFill>
                  <a:schemeClr val="lt1"/>
                </a:solidFill>
              </a:ln>
              <a:effectLst/>
              <a:sp3d contourW="25400">
                <a:contourClr>
                  <a:schemeClr val="lt1"/>
                </a:contourClr>
              </a:sp3d>
            </c:spPr>
          </c:dPt>
          <c:dPt>
            <c:idx val="2"/>
            <c:bubble3D val="0"/>
            <c:spPr>
              <a:solidFill>
                <a:schemeClr val="accent6"/>
              </a:solidFill>
              <a:ln w="25400">
                <a:solidFill>
                  <a:schemeClr val="lt1"/>
                </a:solidFill>
              </a:ln>
              <a:effectLst/>
              <a:sp3d contourW="25400">
                <a:contourClr>
                  <a:schemeClr val="lt1"/>
                </a:contourClr>
              </a:sp3d>
            </c:spPr>
          </c:dPt>
          <c:dPt>
            <c:idx val="3"/>
            <c:bubble3D val="0"/>
            <c:spPr>
              <a:solidFill>
                <a:schemeClr val="accent4">
                  <a:lumMod val="75000"/>
                </a:schemeClr>
              </a:solidFill>
              <a:ln w="25400">
                <a:solidFill>
                  <a:schemeClr val="lt1"/>
                </a:solidFill>
              </a:ln>
              <a:effectLst/>
              <a:sp3d contourW="25400">
                <a:contourClr>
                  <a:schemeClr val="lt1"/>
                </a:contourClr>
              </a:sp3d>
            </c:spPr>
          </c:dPt>
          <c:dPt>
            <c:idx val="4"/>
            <c:bubble3D val="0"/>
            <c:spPr>
              <a:solidFill>
                <a:schemeClr val="accent5">
                  <a:lumMod val="75000"/>
                </a:schemeClr>
              </a:solidFill>
              <a:ln w="25400">
                <a:solidFill>
                  <a:schemeClr val="lt1"/>
                </a:solidFill>
              </a:ln>
              <a:effectLst/>
              <a:sp3d contourW="25400">
                <a:contourClr>
                  <a:schemeClr val="lt1"/>
                </a:contourClr>
              </a:sp3d>
            </c:spPr>
          </c:dPt>
          <c:dPt>
            <c:idx val="5"/>
            <c:bubble3D val="0"/>
            <c:spPr>
              <a:solidFill>
                <a:schemeClr val="accent2">
                  <a:lumMod val="50000"/>
                </a:schemeClr>
              </a:solidFill>
              <a:ln w="25400">
                <a:solidFill>
                  <a:schemeClr val="lt1"/>
                </a:solidFill>
              </a:ln>
              <a:effectLst/>
              <a:sp3d contourW="25400">
                <a:contourClr>
                  <a:schemeClr val="lt1"/>
                </a:contourClr>
              </a:sp3d>
            </c:spPr>
          </c:dPt>
          <c:dPt>
            <c:idx val="6"/>
            <c:bubble3D val="0"/>
            <c:spPr>
              <a:solidFill>
                <a:srgbClr val="FFFF99"/>
              </a:solidFill>
              <a:ln w="25400">
                <a:solidFill>
                  <a:schemeClr val="lt1"/>
                </a:solidFill>
              </a:ln>
              <a:effectLst/>
              <a:sp3d contourW="25400">
                <a:contourClr>
                  <a:schemeClr val="lt1"/>
                </a:contourClr>
              </a:sp3d>
            </c:spPr>
          </c:dPt>
          <c:dLbls>
            <c:dLbl>
              <c:idx val="0"/>
              <c:layout>
                <c:manualLayout>
                  <c:x val="8.2660552842353713E-2"/>
                  <c:y val="-1.147877405177866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
              <c:layout>
                <c:manualLayout>
                  <c:x val="1.022228485812836E-2"/>
                  <c:y val="-0.11885049908642051"/>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2"/>
              <c:layout>
                <c:manualLayout>
                  <c:x val="1.9018413119317998E-2"/>
                  <c:y val="-9.0401220194735551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3"/>
              <c:layout>
                <c:manualLayout>
                  <c:x val="1.0587615234846467E-2"/>
                  <c:y val="-9.0366142463661564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4"/>
              <c:layout>
                <c:manualLayout>
                  <c:x val="-2.8794825384283206E-3"/>
                  <c:y val="-7.5224862171812387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5"/>
              <c:layout>
                <c:manualLayout>
                  <c:x val="2.7770293836758064E-2"/>
                  <c:y val="1.5209995115233427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6"/>
              <c:layout>
                <c:manualLayout>
                  <c:x val="-1.4081201595869687E-2"/>
                  <c:y val="3.6154774734539194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numFmt formatCode="0.0%" sourceLinked="0"/>
            <c:spPr>
              <a:noFill/>
              <a:ln>
                <a:solidFill>
                  <a:srgbClr val="000000"/>
                </a:solid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l-PL"/>
              </a:p>
            </c:txPr>
            <c:dLblPos val="bestFit"/>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Sheet1!$B$1:$H$1</c:f>
              <c:strCache>
                <c:ptCount val="7"/>
                <c:pt idx="0">
                  <c:v>PIT</c:v>
                </c:pt>
                <c:pt idx="1">
                  <c:v>VAT</c:v>
                </c:pt>
                <c:pt idx="2">
                  <c:v>rozliczenia roczne</c:v>
                </c:pt>
                <c:pt idx="3">
                  <c:v>CIT</c:v>
                </c:pt>
                <c:pt idx="4">
                  <c:v>E-deklaracje</c:v>
                </c:pt>
                <c:pt idx="5">
                  <c:v>AKCYZA</c:v>
                </c:pt>
                <c:pt idx="6">
                  <c:v>PCC, SD, OP</c:v>
                </c:pt>
              </c:strCache>
            </c:strRef>
          </c:cat>
          <c:val>
            <c:numRef>
              <c:f>Sheet1!$B$2:$H$2</c:f>
              <c:numCache>
                <c:formatCode>#,##0</c:formatCode>
                <c:ptCount val="7"/>
                <c:pt idx="0">
                  <c:v>500541</c:v>
                </c:pt>
                <c:pt idx="1">
                  <c:v>785914</c:v>
                </c:pt>
                <c:pt idx="2">
                  <c:v>208968</c:v>
                </c:pt>
                <c:pt idx="3">
                  <c:v>107576</c:v>
                </c:pt>
                <c:pt idx="4">
                  <c:v>88599</c:v>
                </c:pt>
                <c:pt idx="5">
                  <c:v>8419</c:v>
                </c:pt>
                <c:pt idx="6">
                  <c:v>104124</c:v>
                </c:pt>
              </c:numCache>
            </c:numRef>
          </c:val>
        </c:ser>
        <c:dLbls>
          <c:showLegendKey val="0"/>
          <c:showVal val="0"/>
          <c:showCatName val="0"/>
          <c:showSerName val="0"/>
          <c:showPercent val="0"/>
          <c:showBubbleSize val="0"/>
          <c:showLeaderLines val="1"/>
        </c:dLbls>
      </c:pie3DChart>
      <c:spPr>
        <a:noFill/>
        <a:ln>
          <a:noFill/>
        </a:ln>
        <a:effectLst/>
      </c:spPr>
    </c:plotArea>
    <c:plotVisOnly val="1"/>
    <c:dispBlanksAs val="zero"/>
    <c:showDLblsOverMax val="0"/>
  </c:chart>
  <c:spPr>
    <a:solidFill>
      <a:schemeClr val="bg1">
        <a:lumMod val="85000"/>
        <a:alpha val="58000"/>
      </a:schemeClr>
    </a:solidFill>
    <a:ln w="9525" cap="flat" cmpd="sng" algn="ctr">
      <a:solidFill>
        <a:schemeClr val="bg1">
          <a:lumMod val="65000"/>
        </a:schemeClr>
      </a:solidFill>
      <a:round/>
    </a:ln>
    <a:effectLst/>
  </c:spPr>
  <c:txPr>
    <a:bodyPr/>
    <a:lstStyle/>
    <a:p>
      <a:pPr>
        <a:defRPr/>
      </a:pPr>
      <a:endParaRPr lang="pl-P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pl-PL" sz="1400">
                <a:solidFill>
                  <a:schemeClr val="accent1">
                    <a:lumMod val="75000"/>
                  </a:schemeClr>
                </a:solidFill>
              </a:rPr>
              <a:t>Wydane interpretacje indywidualne w latach 2007-2015</a:t>
            </a:r>
          </a:p>
        </c:rich>
      </c:tx>
      <c:layout>
        <c:manualLayout>
          <c:xMode val="edge"/>
          <c:yMode val="edge"/>
          <c:x val="0.1664666322590079"/>
          <c:y val="4.1666666666666664E-2"/>
        </c:manualLayout>
      </c:layout>
      <c:overlay val="0"/>
      <c:spPr>
        <a:noFill/>
        <a:ln>
          <a:noFill/>
        </a:ln>
        <a:effectLst/>
      </c:spPr>
    </c:title>
    <c:autoTitleDeleted val="0"/>
    <c:plotArea>
      <c:layout/>
      <c:barChart>
        <c:barDir val="col"/>
        <c:grouping val="clustered"/>
        <c:varyColors val="0"/>
        <c:ser>
          <c:idx val="1"/>
          <c:order val="0"/>
          <c:spPr>
            <a:gradFill flip="none" rotWithShape="1">
              <a:gsLst>
                <a:gs pos="44000">
                  <a:schemeClr val="accent1">
                    <a:lumMod val="50000"/>
                  </a:schemeClr>
                </a:gs>
                <a:gs pos="89000">
                  <a:schemeClr val="accent1">
                    <a:lumMod val="45000"/>
                    <a:lumOff val="55000"/>
                  </a:schemeClr>
                </a:gs>
                <a:gs pos="95000">
                  <a:schemeClr val="accent1">
                    <a:lumMod val="45000"/>
                    <a:lumOff val="55000"/>
                  </a:schemeClr>
                </a:gs>
                <a:gs pos="100000">
                  <a:schemeClr val="accent1">
                    <a:lumMod val="30000"/>
                    <a:lumOff val="70000"/>
                  </a:schemeClr>
                </a:gs>
              </a:gsLst>
              <a:path path="circle">
                <a:fillToRect l="100000" t="100000"/>
              </a:path>
              <a:tileRect r="-100000" b="-100000"/>
            </a:gra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Arkusz2!$B$17:$J$17</c:f>
              <c:strCache>
                <c:ptCount val="9"/>
                <c:pt idx="0">
                  <c:v>od lipca 2007</c:v>
                </c:pt>
                <c:pt idx="1">
                  <c:v>2008</c:v>
                </c:pt>
                <c:pt idx="2">
                  <c:v>2009</c:v>
                </c:pt>
                <c:pt idx="3">
                  <c:v>2010</c:v>
                </c:pt>
                <c:pt idx="4">
                  <c:v>2011</c:v>
                </c:pt>
                <c:pt idx="5">
                  <c:v>2012</c:v>
                </c:pt>
                <c:pt idx="6">
                  <c:v>2013</c:v>
                </c:pt>
                <c:pt idx="7">
                  <c:v>2014</c:v>
                </c:pt>
                <c:pt idx="8">
                  <c:v>2015</c:v>
                </c:pt>
              </c:strCache>
            </c:strRef>
          </c:cat>
          <c:val>
            <c:numRef>
              <c:f>Arkusz2!$B$18:$J$18</c:f>
              <c:numCache>
                <c:formatCode>#,##0</c:formatCode>
                <c:ptCount val="9"/>
                <c:pt idx="0">
                  <c:v>4275</c:v>
                </c:pt>
                <c:pt idx="1">
                  <c:v>24229</c:v>
                </c:pt>
                <c:pt idx="2">
                  <c:v>28153</c:v>
                </c:pt>
                <c:pt idx="3">
                  <c:v>30920</c:v>
                </c:pt>
                <c:pt idx="4">
                  <c:v>35929</c:v>
                </c:pt>
                <c:pt idx="5">
                  <c:v>36816</c:v>
                </c:pt>
                <c:pt idx="6">
                  <c:v>36147</c:v>
                </c:pt>
                <c:pt idx="7">
                  <c:v>37891</c:v>
                </c:pt>
                <c:pt idx="8">
                  <c:v>37710</c:v>
                </c:pt>
              </c:numCache>
            </c:numRef>
          </c:val>
        </c:ser>
        <c:dLbls>
          <c:showLegendKey val="0"/>
          <c:showVal val="1"/>
          <c:showCatName val="0"/>
          <c:showSerName val="0"/>
          <c:showPercent val="0"/>
          <c:showBubbleSize val="0"/>
        </c:dLbls>
        <c:gapWidth val="65"/>
        <c:axId val="152892544"/>
        <c:axId val="154099072"/>
        <c:extLst>
          <c:ext xmlns:c15="http://schemas.microsoft.com/office/drawing/2012/chart" uri="{02D57815-91ED-43cb-92C2-25804820EDAC}">
            <c15:filteredBarSeries>
              <c15: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l-PL"/>
                    </a:p>
                  </c:txPr>
                  <c:dLblPos val="inEnd"/>
                  <c:showLegendKey val="0"/>
                  <c:showVal val="1"/>
                  <c:showCatName val="0"/>
                  <c:showSerName val="0"/>
                  <c:showPercent val="0"/>
                  <c:showBubbleSize val="0"/>
                  <c:showLeaderLines val="0"/>
                  <c:extLst>
                    <c:ext uri="{CE6537A1-D6FC-4f65-9D91-7224C49458BB}">
                      <c15:showLeaderLines val="0"/>
                    </c:ext>
                  </c:extLst>
                </c:dLbls>
                <c:cat>
                  <c:strRef>
                    <c:extLst>
                      <c:ext uri="{02D57815-91ED-43cb-92C2-25804820EDAC}">
                        <c15:formulaRef>
                          <c15:sqref>Arkusz2!$B$17:$J$17</c15:sqref>
                        </c15:formulaRef>
                      </c:ext>
                    </c:extLst>
                    <c:strCache>
                      <c:ptCount val="9"/>
                      <c:pt idx="0">
                        <c:v>od lipca 2007</c:v>
                      </c:pt>
                      <c:pt idx="1">
                        <c:v>2008</c:v>
                      </c:pt>
                      <c:pt idx="2">
                        <c:v>2009</c:v>
                      </c:pt>
                      <c:pt idx="3">
                        <c:v>2010</c:v>
                      </c:pt>
                      <c:pt idx="4">
                        <c:v>2011</c:v>
                      </c:pt>
                      <c:pt idx="5">
                        <c:v>2012</c:v>
                      </c:pt>
                      <c:pt idx="6">
                        <c:v>2013</c:v>
                      </c:pt>
                      <c:pt idx="7">
                        <c:v>2014</c:v>
                      </c:pt>
                      <c:pt idx="8">
                        <c:v>2015</c:v>
                      </c:pt>
                    </c:strCache>
                  </c:strRef>
                </c:cat>
                <c:val>
                  <c:numRef>
                    <c:extLst>
                      <c:ext uri="{02D57815-91ED-43cb-92C2-25804820EDAC}">
                        <c15:formulaRef>
                          <c15:sqref>Arkusz2!$B$17:$J$17</c15:sqref>
                        </c15:formulaRef>
                      </c:ext>
                    </c:extLst>
                    <c:numCache>
                      <c:formatCode>General</c:formatCode>
                      <c:ptCount val="9"/>
                      <c:pt idx="0">
                        <c:v>0</c:v>
                      </c:pt>
                      <c:pt idx="1">
                        <c:v>2008</c:v>
                      </c:pt>
                      <c:pt idx="2">
                        <c:v>2009</c:v>
                      </c:pt>
                      <c:pt idx="3">
                        <c:v>2010</c:v>
                      </c:pt>
                      <c:pt idx="4">
                        <c:v>2011</c:v>
                      </c:pt>
                      <c:pt idx="5">
                        <c:v>2012</c:v>
                      </c:pt>
                      <c:pt idx="6">
                        <c:v>2013</c:v>
                      </c:pt>
                      <c:pt idx="7">
                        <c:v>2014</c:v>
                      </c:pt>
                      <c:pt idx="8">
                        <c:v>2015</c:v>
                      </c:pt>
                    </c:numCache>
                  </c:numRef>
                </c:val>
              </c15:ser>
            </c15:filteredBarSeries>
          </c:ext>
        </c:extLst>
      </c:barChart>
      <c:catAx>
        <c:axId val="15289254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pl-PL"/>
          </a:p>
        </c:txPr>
        <c:crossAx val="154099072"/>
        <c:crosses val="autoZero"/>
        <c:auto val="1"/>
        <c:lblAlgn val="ctr"/>
        <c:lblOffset val="100"/>
        <c:noMultiLvlLbl val="0"/>
      </c:catAx>
      <c:valAx>
        <c:axId val="1540990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one"/>
        <c:crossAx val="15289254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pl-PL" sz="1100"/>
              <a:t>Wpływ wniosków ORD-OG oraz wydane postanowienia o pozostawieniu wniosków bez rozpatrzenia </a:t>
            </a:r>
          </a:p>
        </c:rich>
      </c:tx>
      <c:overlay val="0"/>
      <c:spPr>
        <a:noFill/>
        <a:ln>
          <a:noFill/>
        </a:ln>
        <a:effectLst/>
      </c:spPr>
    </c:title>
    <c:autoTitleDeleted val="0"/>
    <c:plotArea>
      <c:layout/>
      <c:barChart>
        <c:barDir val="col"/>
        <c:grouping val="clustered"/>
        <c:varyColors val="0"/>
        <c:ser>
          <c:idx val="0"/>
          <c:order val="0"/>
          <c:tx>
            <c:strRef>
              <c:f>Arkusz1!$B$1</c:f>
              <c:strCache>
                <c:ptCount val="1"/>
                <c:pt idx="0">
                  <c:v>wpływ ORD-OG</c:v>
                </c:pt>
              </c:strCache>
            </c:strRef>
          </c:tx>
          <c:spPr>
            <a:gradFill flip="none" rotWithShape="1">
              <a:gsLst>
                <a:gs pos="0">
                  <a:schemeClr val="accent6">
                    <a:lumMod val="40000"/>
                    <a:lumOff val="60000"/>
                  </a:schemeClr>
                </a:gs>
                <a:gs pos="46000">
                  <a:schemeClr val="accent6">
                    <a:lumMod val="95000"/>
                    <a:lumOff val="5000"/>
                  </a:schemeClr>
                </a:gs>
                <a:gs pos="100000">
                  <a:schemeClr val="accent6">
                    <a:lumMod val="60000"/>
                  </a:schemeClr>
                </a:gs>
              </a:gsLst>
              <a:path path="circle">
                <a:fillToRect l="50000" t="130000" r="50000" b="-30000"/>
              </a:path>
              <a:tileRect/>
            </a:gra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Arkusz1!$A$2:$A$5</c:f>
              <c:numCache>
                <c:formatCode>General</c:formatCode>
                <c:ptCount val="4"/>
                <c:pt idx="0">
                  <c:v>2012</c:v>
                </c:pt>
                <c:pt idx="1">
                  <c:v>2013</c:v>
                </c:pt>
                <c:pt idx="2">
                  <c:v>2014</c:v>
                </c:pt>
                <c:pt idx="3">
                  <c:v>2015</c:v>
                </c:pt>
              </c:numCache>
            </c:numRef>
          </c:cat>
          <c:val>
            <c:numRef>
              <c:f>Arkusz1!$B$2:$B$5</c:f>
              <c:numCache>
                <c:formatCode>General</c:formatCode>
                <c:ptCount val="4"/>
                <c:pt idx="0">
                  <c:v>77</c:v>
                </c:pt>
                <c:pt idx="1">
                  <c:v>41</c:v>
                </c:pt>
                <c:pt idx="2">
                  <c:v>36</c:v>
                </c:pt>
                <c:pt idx="3">
                  <c:v>15</c:v>
                </c:pt>
              </c:numCache>
            </c:numRef>
          </c:val>
        </c:ser>
        <c:ser>
          <c:idx val="1"/>
          <c:order val="1"/>
          <c:tx>
            <c:strRef>
              <c:f>Arkusz1!$C$1</c:f>
              <c:strCache>
                <c:ptCount val="1"/>
                <c:pt idx="0">
                  <c:v>wydane postanowienia</c:v>
                </c:pt>
              </c:strCache>
            </c:strRef>
          </c:tx>
          <c:spPr>
            <a:gradFill flip="none" rotWithShape="1">
              <a:gsLst>
                <a:gs pos="0">
                  <a:schemeClr val="accent4">
                    <a:lumMod val="89000"/>
                  </a:schemeClr>
                </a:gs>
                <a:gs pos="23000">
                  <a:schemeClr val="accent4">
                    <a:lumMod val="89000"/>
                  </a:schemeClr>
                </a:gs>
                <a:gs pos="69000">
                  <a:schemeClr val="accent4">
                    <a:lumMod val="75000"/>
                  </a:schemeClr>
                </a:gs>
                <a:gs pos="97000">
                  <a:schemeClr val="accent4">
                    <a:lumMod val="70000"/>
                  </a:schemeClr>
                </a:gs>
              </a:gsLst>
              <a:path path="circle">
                <a:fillToRect l="50000" t="50000" r="50000" b="50000"/>
              </a:path>
              <a:tileRect/>
            </a:gra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l-PL"/>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Arkusz1!$A$2:$A$5</c:f>
              <c:numCache>
                <c:formatCode>General</c:formatCode>
                <c:ptCount val="4"/>
                <c:pt idx="0">
                  <c:v>2012</c:v>
                </c:pt>
                <c:pt idx="1">
                  <c:v>2013</c:v>
                </c:pt>
                <c:pt idx="2">
                  <c:v>2014</c:v>
                </c:pt>
                <c:pt idx="3">
                  <c:v>2015</c:v>
                </c:pt>
              </c:numCache>
            </c:numRef>
          </c:cat>
          <c:val>
            <c:numRef>
              <c:f>Arkusz1!$C$2:$C$5</c:f>
              <c:numCache>
                <c:formatCode>General</c:formatCode>
                <c:ptCount val="4"/>
                <c:pt idx="0">
                  <c:v>57</c:v>
                </c:pt>
                <c:pt idx="1">
                  <c:v>34</c:v>
                </c:pt>
                <c:pt idx="2">
                  <c:v>27</c:v>
                </c:pt>
                <c:pt idx="3">
                  <c:v>14</c:v>
                </c:pt>
              </c:numCache>
            </c:numRef>
          </c:val>
        </c:ser>
        <c:dLbls>
          <c:showLegendKey val="0"/>
          <c:showVal val="1"/>
          <c:showCatName val="0"/>
          <c:showSerName val="0"/>
          <c:showPercent val="0"/>
          <c:showBubbleSize val="0"/>
        </c:dLbls>
        <c:gapWidth val="65"/>
        <c:axId val="158688000"/>
        <c:axId val="158689536"/>
      </c:barChart>
      <c:catAx>
        <c:axId val="15868800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00" b="1" i="0" u="none" strike="noStrike" kern="1200" cap="all" baseline="0">
                <a:solidFill>
                  <a:schemeClr val="dk1">
                    <a:lumMod val="75000"/>
                    <a:lumOff val="25000"/>
                  </a:schemeClr>
                </a:solidFill>
                <a:latin typeface="+mn-lt"/>
                <a:ea typeface="+mn-ea"/>
                <a:cs typeface="+mn-cs"/>
              </a:defRPr>
            </a:pPr>
            <a:endParaRPr lang="pl-PL"/>
          </a:p>
        </c:txPr>
        <c:crossAx val="158689536"/>
        <c:crosses val="autoZero"/>
        <c:auto val="1"/>
        <c:lblAlgn val="ctr"/>
        <c:lblOffset val="100"/>
        <c:noMultiLvlLbl val="0"/>
      </c:catAx>
      <c:valAx>
        <c:axId val="15868953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5868800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pl-PL" sz="1400"/>
              <a:t>Struktura zatrudnienia w biurach KIP</a:t>
            </a:r>
          </a:p>
        </c:rich>
      </c:tx>
      <c:overlay val="0"/>
      <c:spPr>
        <a:noFill/>
        <a:ln>
          <a:noFill/>
        </a:ln>
        <a:effectLst/>
      </c:spPr>
    </c:title>
    <c:autoTitleDeleted val="0"/>
    <c:plotArea>
      <c:layout/>
      <c:barChart>
        <c:barDir val="col"/>
        <c:grouping val="clustered"/>
        <c:varyColors val="0"/>
        <c:ser>
          <c:idx val="0"/>
          <c:order val="0"/>
          <c:tx>
            <c:strRef>
              <c:f>Arkusz1!$B$1</c:f>
              <c:strCache>
                <c:ptCount val="1"/>
                <c:pt idx="0">
                  <c:v>infolinia</c:v>
                </c:pt>
              </c:strCache>
            </c:strRef>
          </c:tx>
          <c:spPr>
            <a:gradFill flip="none" rotWithShape="1">
              <a:gsLst>
                <a:gs pos="0">
                  <a:schemeClr val="accent6">
                    <a:lumMod val="67000"/>
                  </a:schemeClr>
                </a:gs>
                <a:gs pos="48000">
                  <a:schemeClr val="accent6">
                    <a:lumMod val="97000"/>
                    <a:lumOff val="3000"/>
                  </a:schemeClr>
                </a:gs>
                <a:gs pos="100000">
                  <a:schemeClr val="accent6">
                    <a:lumMod val="60000"/>
                    <a:lumOff val="40000"/>
                  </a:schemeClr>
                </a:gs>
              </a:gsLst>
              <a:path path="circle">
                <a:fillToRect l="100000" t="100000"/>
              </a:path>
              <a:tileRect r="-100000" b="-100000"/>
            </a:gradFill>
            <a:ln w="9525" cap="flat" cmpd="sng" algn="ctr">
              <a:solidFill>
                <a:schemeClr val="lt1">
                  <a:alpha val="50000"/>
                </a:schemeClr>
              </a:solidFill>
              <a:round/>
            </a:ln>
            <a:effectLst/>
          </c:spPr>
          <c:invertIfNegative val="0"/>
          <c:dLbls>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6">
                          <a:lumMod val="50000"/>
                        </a:schemeClr>
                      </a:solidFill>
                      <a:latin typeface="+mn-lt"/>
                      <a:ea typeface="+mn-ea"/>
                      <a:cs typeface="+mn-cs"/>
                    </a:defRPr>
                  </a:pPr>
                  <a:endParaRPr lang="pl-PL"/>
                </a:p>
              </c:txPr>
              <c:dLblPos val="outEnd"/>
              <c:showLegendKey val="0"/>
              <c:showVal val="1"/>
              <c:showCatName val="0"/>
              <c:showSerName val="0"/>
              <c:showPercent val="0"/>
              <c:showBubbleSize val="0"/>
            </c:dLbl>
            <c:dLbl>
              <c:idx val="1"/>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6">
                          <a:lumMod val="50000"/>
                        </a:schemeClr>
                      </a:solidFill>
                      <a:latin typeface="+mn-lt"/>
                      <a:ea typeface="+mn-ea"/>
                      <a:cs typeface="+mn-cs"/>
                    </a:defRPr>
                  </a:pPr>
                  <a:endParaRPr lang="pl-PL"/>
                </a:p>
              </c:txPr>
              <c:dLblPos val="outEnd"/>
              <c:showLegendKey val="0"/>
              <c:showVal val="1"/>
              <c:showCatName val="0"/>
              <c:showSerName val="0"/>
              <c:showPercent val="0"/>
              <c:showBubbleSize val="0"/>
            </c:dLbl>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6">
                          <a:lumMod val="50000"/>
                        </a:schemeClr>
                      </a:solidFill>
                      <a:latin typeface="+mn-lt"/>
                      <a:ea typeface="+mn-ea"/>
                      <a:cs typeface="+mn-cs"/>
                    </a:defRPr>
                  </a:pPr>
                  <a:endParaRPr lang="pl-PL"/>
                </a:p>
              </c:txPr>
              <c:dLblPos val="outEnd"/>
              <c:showLegendKey val="0"/>
              <c:showVal val="1"/>
              <c:showCatName val="0"/>
              <c:showSerName val="0"/>
              <c:showPercent val="0"/>
              <c:showBubbleSize val="0"/>
            </c:dLbl>
            <c:dLbl>
              <c:idx val="3"/>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6">
                          <a:lumMod val="50000"/>
                        </a:schemeClr>
                      </a:solidFill>
                      <a:latin typeface="+mn-lt"/>
                      <a:ea typeface="+mn-ea"/>
                      <a:cs typeface="+mn-cs"/>
                    </a:defRPr>
                  </a:pPr>
                  <a:endParaRPr lang="pl-PL"/>
                </a:p>
              </c:txPr>
              <c:dLblPos val="outEnd"/>
              <c:showLegendKey val="0"/>
              <c:showVal val="1"/>
              <c:showCatName val="0"/>
              <c:showSerName val="0"/>
              <c:showPercent val="0"/>
              <c:showBubbleSize val="0"/>
            </c:dLbl>
            <c:dLbl>
              <c:idx val="4"/>
              <c:delete val="1"/>
              <c:extLst>
                <c:ext xmlns:c15="http://schemas.microsoft.com/office/drawing/2012/chart" uri="{CE6537A1-D6FC-4f65-9D91-7224C49458BB}"/>
              </c:extLst>
            </c:dLbl>
            <c:dLbl>
              <c:idx val="5"/>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6">
                          <a:lumMod val="50000"/>
                        </a:schemeClr>
                      </a:solidFill>
                      <a:latin typeface="+mn-lt"/>
                      <a:ea typeface="+mn-ea"/>
                      <a:cs typeface="+mn-cs"/>
                    </a:defRPr>
                  </a:pPr>
                  <a:endParaRPr lang="pl-PL"/>
                </a:p>
              </c:txPr>
              <c:dLblPos val="outEnd"/>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Arkusz1!$A$2:$A$7</c:f>
              <c:strCache>
                <c:ptCount val="6"/>
                <c:pt idx="0">
                  <c:v>BKIP BĘDZIN</c:v>
                </c:pt>
                <c:pt idx="1">
                  <c:v>BKIP BIELSKO-BIAŁA</c:v>
                </c:pt>
                <c:pt idx="2">
                  <c:v>BKIP LESZNO</c:v>
                </c:pt>
                <c:pt idx="3">
                  <c:v>BKIP PŁOCK</c:v>
                </c:pt>
                <c:pt idx="4">
                  <c:v>BKIP PIOTRKÓW TR.</c:v>
                </c:pt>
                <c:pt idx="5">
                  <c:v>BKIP TORUŃ</c:v>
                </c:pt>
              </c:strCache>
            </c:strRef>
          </c:cat>
          <c:val>
            <c:numRef>
              <c:f>Arkusz1!$B$2:$B$7</c:f>
              <c:numCache>
                <c:formatCode>General</c:formatCode>
                <c:ptCount val="6"/>
                <c:pt idx="0">
                  <c:v>91</c:v>
                </c:pt>
                <c:pt idx="1">
                  <c:v>45</c:v>
                </c:pt>
                <c:pt idx="2">
                  <c:v>46</c:v>
                </c:pt>
                <c:pt idx="3">
                  <c:v>43</c:v>
                </c:pt>
                <c:pt idx="4">
                  <c:v>0</c:v>
                </c:pt>
                <c:pt idx="5">
                  <c:v>38</c:v>
                </c:pt>
              </c:numCache>
            </c:numRef>
          </c:val>
        </c:ser>
        <c:ser>
          <c:idx val="1"/>
          <c:order val="1"/>
          <c:tx>
            <c:strRef>
              <c:f>Arkusz1!$C$1</c:f>
              <c:strCache>
                <c:ptCount val="1"/>
                <c:pt idx="0">
                  <c:v>interpetacje</c:v>
                </c:pt>
              </c:strCache>
            </c:strRef>
          </c:tx>
          <c:spPr>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path path="circle">
                <a:fillToRect l="100000" t="100000"/>
              </a:path>
              <a:tileRect r="-100000" b="-100000"/>
            </a:gradFill>
            <a:ln w="9525" cap="flat" cmpd="sng" algn="ctr">
              <a:solidFill>
                <a:schemeClr val="lt1">
                  <a:alpha val="50000"/>
                </a:schemeClr>
              </a:solidFill>
              <a:round/>
            </a:ln>
            <a:effectLst/>
          </c:spPr>
          <c:invertIfNegative val="0"/>
          <c:dLbls>
            <c:dLbl>
              <c:idx val="0"/>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5">
                        <a:lumMod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Arkusz1!$A$2:$A$7</c:f>
              <c:strCache>
                <c:ptCount val="6"/>
                <c:pt idx="0">
                  <c:v>BKIP BĘDZIN</c:v>
                </c:pt>
                <c:pt idx="1">
                  <c:v>BKIP BIELSKO-BIAŁA</c:v>
                </c:pt>
                <c:pt idx="2">
                  <c:v>BKIP LESZNO</c:v>
                </c:pt>
                <c:pt idx="3">
                  <c:v>BKIP PŁOCK</c:v>
                </c:pt>
                <c:pt idx="4">
                  <c:v>BKIP PIOTRKÓW TR.</c:v>
                </c:pt>
                <c:pt idx="5">
                  <c:v>BKIP TORUŃ</c:v>
                </c:pt>
              </c:strCache>
            </c:strRef>
          </c:cat>
          <c:val>
            <c:numRef>
              <c:f>Arkusz1!$C$2:$C$7</c:f>
              <c:numCache>
                <c:formatCode>General</c:formatCode>
                <c:ptCount val="6"/>
                <c:pt idx="0">
                  <c:v>0</c:v>
                </c:pt>
                <c:pt idx="1">
                  <c:v>108</c:v>
                </c:pt>
                <c:pt idx="2">
                  <c:v>114</c:v>
                </c:pt>
                <c:pt idx="3">
                  <c:v>112</c:v>
                </c:pt>
                <c:pt idx="4">
                  <c:v>79</c:v>
                </c:pt>
                <c:pt idx="5">
                  <c:v>77</c:v>
                </c:pt>
              </c:numCache>
            </c:numRef>
          </c:val>
        </c:ser>
        <c:ser>
          <c:idx val="2"/>
          <c:order val="2"/>
          <c:tx>
            <c:strRef>
              <c:f>Arkusz1!$D$1</c:f>
              <c:strCache>
                <c:ptCount val="1"/>
                <c:pt idx="0">
                  <c:v>radcowie prawni</c:v>
                </c:pt>
              </c:strCache>
            </c:strRef>
          </c:tx>
          <c:spPr>
            <a:solidFill>
              <a:schemeClr val="accent4">
                <a:alpha val="85000"/>
              </a:schemeClr>
            </a:solidFill>
            <a:ln w="9525" cap="flat" cmpd="sng" algn="ctr">
              <a:solidFill>
                <a:schemeClr val="lt1">
                  <a:alpha val="50000"/>
                </a:schemeClr>
              </a:solidFill>
              <a:round/>
            </a:ln>
            <a:effectLst/>
          </c:spPr>
          <c:invertIfNegative val="0"/>
          <c:dLbls>
            <c:dLbl>
              <c:idx val="0"/>
              <c:delete val="1"/>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4">
                        <a:lumMod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Arkusz1!$A$2:$A$7</c:f>
              <c:strCache>
                <c:ptCount val="6"/>
                <c:pt idx="0">
                  <c:v>BKIP BĘDZIN</c:v>
                </c:pt>
                <c:pt idx="1">
                  <c:v>BKIP BIELSKO-BIAŁA</c:v>
                </c:pt>
                <c:pt idx="2">
                  <c:v>BKIP LESZNO</c:v>
                </c:pt>
                <c:pt idx="3">
                  <c:v>BKIP PŁOCK</c:v>
                </c:pt>
                <c:pt idx="4">
                  <c:v>BKIP PIOTRKÓW TR.</c:v>
                </c:pt>
                <c:pt idx="5">
                  <c:v>BKIP TORUŃ</c:v>
                </c:pt>
              </c:strCache>
            </c:strRef>
          </c:cat>
          <c:val>
            <c:numRef>
              <c:f>Arkusz1!$D$2:$D$7</c:f>
              <c:numCache>
                <c:formatCode>General</c:formatCode>
                <c:ptCount val="6"/>
                <c:pt idx="0">
                  <c:v>0</c:v>
                </c:pt>
                <c:pt idx="1">
                  <c:v>4.25</c:v>
                </c:pt>
                <c:pt idx="2">
                  <c:v>6.5</c:v>
                </c:pt>
                <c:pt idx="3">
                  <c:v>6.5</c:v>
                </c:pt>
                <c:pt idx="4">
                  <c:v>4.5</c:v>
                </c:pt>
                <c:pt idx="5">
                  <c:v>4.5</c:v>
                </c:pt>
              </c:numCache>
            </c:numRef>
          </c:val>
        </c:ser>
        <c:ser>
          <c:idx val="3"/>
          <c:order val="3"/>
          <c:tx>
            <c:strRef>
              <c:f>Arkusz1!$E$1</c:f>
              <c:strCache>
                <c:ptCount val="1"/>
                <c:pt idx="0">
                  <c:v>informatycy/administracja </c:v>
                </c:pt>
              </c:strCache>
            </c:strRef>
          </c:tx>
          <c:spPr>
            <a:gradFill flip="none" rotWithShape="1">
              <a:gsLst>
                <a:gs pos="0">
                  <a:schemeClr val="accent2">
                    <a:lumMod val="67000"/>
                  </a:schemeClr>
                </a:gs>
                <a:gs pos="48000">
                  <a:schemeClr val="accent2">
                    <a:lumMod val="97000"/>
                    <a:lumOff val="3000"/>
                  </a:schemeClr>
                </a:gs>
                <a:gs pos="100000">
                  <a:schemeClr val="accent2">
                    <a:lumMod val="60000"/>
                    <a:lumOff val="40000"/>
                  </a:schemeClr>
                </a:gs>
              </a:gsLst>
              <a:lin ang="16200000" scaled="1"/>
              <a:tileRect/>
            </a:gra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accent2">
                        <a:lumMod val="50000"/>
                      </a:schemeClr>
                    </a:solidFill>
                    <a:latin typeface="+mn-lt"/>
                    <a:ea typeface="+mn-ea"/>
                    <a:cs typeface="+mn-cs"/>
                  </a:defRPr>
                </a:pPr>
                <a:endParaRPr lang="pl-PL"/>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Arkusz1!$A$2:$A$7</c:f>
              <c:strCache>
                <c:ptCount val="6"/>
                <c:pt idx="0">
                  <c:v>BKIP BĘDZIN</c:v>
                </c:pt>
                <c:pt idx="1">
                  <c:v>BKIP BIELSKO-BIAŁA</c:v>
                </c:pt>
                <c:pt idx="2">
                  <c:v>BKIP LESZNO</c:v>
                </c:pt>
                <c:pt idx="3">
                  <c:v>BKIP PŁOCK</c:v>
                </c:pt>
                <c:pt idx="4">
                  <c:v>BKIP PIOTRKÓW TR.</c:v>
                </c:pt>
                <c:pt idx="5">
                  <c:v>BKIP TORUŃ</c:v>
                </c:pt>
              </c:strCache>
            </c:strRef>
          </c:cat>
          <c:val>
            <c:numRef>
              <c:f>Arkusz1!$E$2:$E$7</c:f>
              <c:numCache>
                <c:formatCode>General</c:formatCode>
                <c:ptCount val="6"/>
                <c:pt idx="0">
                  <c:v>9</c:v>
                </c:pt>
                <c:pt idx="1">
                  <c:v>18</c:v>
                </c:pt>
                <c:pt idx="2">
                  <c:v>13.5</c:v>
                </c:pt>
                <c:pt idx="3">
                  <c:v>16.5</c:v>
                </c:pt>
                <c:pt idx="4">
                  <c:v>12</c:v>
                </c:pt>
                <c:pt idx="5">
                  <c:v>11</c:v>
                </c:pt>
              </c:numCache>
            </c:numRef>
          </c:val>
        </c:ser>
        <c:dLbls>
          <c:showLegendKey val="0"/>
          <c:showVal val="1"/>
          <c:showCatName val="0"/>
          <c:showSerName val="0"/>
          <c:showPercent val="0"/>
          <c:showBubbleSize val="0"/>
        </c:dLbls>
        <c:gapWidth val="65"/>
        <c:axId val="158171136"/>
        <c:axId val="158172672"/>
      </c:barChart>
      <c:catAx>
        <c:axId val="1581711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pl-PL"/>
          </a:p>
        </c:txPr>
        <c:crossAx val="158172672"/>
        <c:crosses val="autoZero"/>
        <c:auto val="1"/>
        <c:lblAlgn val="ctr"/>
        <c:lblOffset val="100"/>
        <c:noMultiLvlLbl val="0"/>
      </c:catAx>
      <c:valAx>
        <c:axId val="1581726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one"/>
        <c:crossAx val="1581711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pl-PL"/>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pl-PL"/>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Aspek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894FD-E19B-44BE-968D-7818C01D3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4605</Words>
  <Characters>27636</Characters>
  <Application>Microsoft Office Word</Application>
  <DocSecurity>0</DocSecurity>
  <Lines>230</Lines>
  <Paragraphs>64</Paragraphs>
  <ScaleCrop>false</ScaleCrop>
  <HeadingPairs>
    <vt:vector size="2" baseType="variant">
      <vt:variant>
        <vt:lpstr>Tytuł</vt:lpstr>
      </vt:variant>
      <vt:variant>
        <vt:i4>1</vt:i4>
      </vt:variant>
    </vt:vector>
  </HeadingPairs>
  <TitlesOfParts>
    <vt:vector size="1" baseType="lpstr">
      <vt:lpstr/>
    </vt:vector>
  </TitlesOfParts>
  <Company>Hewlett-Packard</Company>
  <LinksUpToDate>false</LinksUpToDate>
  <CharactersWithSpaces>32177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Patrycja Hasselgren</dc:creator>
  <cp:lastModifiedBy>Gryz Henryk</cp:lastModifiedBy>
  <cp:revision>2</cp:revision>
  <cp:lastPrinted>2016-06-29T12:13:00Z</cp:lastPrinted>
  <dcterms:created xsi:type="dcterms:W3CDTF">2016-07-20T12:30:00Z</dcterms:created>
  <dcterms:modified xsi:type="dcterms:W3CDTF">2016-07-20T12:30:00Z</dcterms:modified>
</cp:coreProperties>
</file>