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widowControl w:val="0"/>
        <w:spacing w:line="708" w:lineRule="exact"/>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67.5pt;margin-top:0;width:33.1pt;height:36.95pt;z-index:-251658752;mso-wrap-distance-left:5.pt;mso-wrap-distance-right:5.pt;mso-position-horizontal-relative:margin" wrapcoords="0 0">
            <v:imagedata r:id="rId5" r:href="rId6"/>
            <w10:wrap anchorx="margin"/>
          </v:shape>
        </w:pict>
      </w:r>
      <w:r>
        <w:pict>
          <v:shapetype id="_x0000_t202" coordsize="21600,21600" o:spt="202" path="m,l,21600r21600,l21600,xe">
            <v:stroke joinstyle="miter"/>
            <v:path gradientshapeok="t" o:connecttype="rect"/>
          </v:shapetype>
          <v:shape id="_x0000_s1027" type="#_x0000_t202" style="position:absolute;margin-left:379.25pt;margin-top:3.7pt;width:97.2pt;height:20.65pt;z-index:251657728;mso-wrap-distance-left:5.pt;mso-wrap-distance-right:5.pt;mso-position-horizontal-relative:margin" filled="f" stroked="f">
            <v:textbox style="mso-fit-shape-to-text:t" inset="0,0,0,0">
              <w:txbxContent>
                <w:p>
                  <w:pPr>
                    <w:pStyle w:val="Style6"/>
                    <w:widowControl w:val="0"/>
                    <w:keepNext w:val="0"/>
                    <w:keepLines w:val="0"/>
                    <w:shd w:val="clear" w:color="auto" w:fill="auto"/>
                    <w:bidi w:val="0"/>
                    <w:spacing w:before="0" w:after="0"/>
                    <w:ind w:left="0" w:right="0" w:firstLine="0"/>
                  </w:pPr>
                  <w:r>
                    <w:rPr>
                      <w:rStyle w:val="CharStyle8"/>
                    </w:rPr>
                    <w:t xml:space="preserve">F—009/1/01 ó/l WW/1 </w:t>
                  </w:r>
                  <w:r>
                    <w:rPr>
                      <w:lang w:val="pl-PL" w:eastAsia="pl-PL" w:bidi="pl-PL"/>
                      <w:w w:val="100"/>
                      <w:spacing w:val="0"/>
                      <w:color w:val="000000"/>
                      <w:position w:val="0"/>
                    </w:rPr>
                    <w:t>obowiązuje od 10 OS. 2017</w:t>
                  </w:r>
                </w:p>
              </w:txbxContent>
            </v:textbox>
            <w10:wrap anchorx="margin"/>
          </v:shape>
        </w:pict>
      </w:r>
    </w:p>
    <w:p>
      <w:pPr>
        <w:widowControl w:val="0"/>
        <w:rPr>
          <w:sz w:val="2"/>
          <w:szCs w:val="2"/>
        </w:rPr>
        <w:sectPr>
          <w:footerReference w:type="even" r:id="rId7"/>
          <w:footerReference w:type="first" r:id="rId8"/>
          <w:titlePg/>
          <w:footnotePr>
            <w:pos w:val="pageBottom"/>
            <w:numFmt w:val="decimal"/>
            <w:numRestart w:val="continuous"/>
          </w:footnotePr>
          <w:type w:val="continuous"/>
          <w:pgSz w:w="12161" w:h="16838"/>
          <w:pgMar w:top="484" w:left="1295" w:right="743" w:bottom="1208" w:header="0" w:footer="3" w:gutter="0"/>
          <w:rtlGutter w:val="0"/>
          <w:cols w:space="720"/>
          <w:noEndnote/>
          <w:docGrid w:linePitch="360"/>
        </w:sectPr>
      </w:pPr>
    </w:p>
    <w:p>
      <w:pPr>
        <w:widowControl w:val="0"/>
        <w:spacing w:line="140" w:lineRule="exact"/>
        <w:rPr>
          <w:sz w:val="11"/>
          <w:szCs w:val="11"/>
        </w:rPr>
      </w:pPr>
    </w:p>
    <w:p>
      <w:pPr>
        <w:widowControl w:val="0"/>
        <w:rPr>
          <w:sz w:val="2"/>
          <w:szCs w:val="2"/>
        </w:rPr>
        <w:sectPr>
          <w:type w:val="continuous"/>
          <w:pgSz w:w="12161" w:h="16838"/>
          <w:pgMar w:top="1358" w:left="0" w:right="0" w:bottom="1175" w:header="0" w:footer="3" w:gutter="0"/>
          <w:rtlGutter w:val="0"/>
          <w:cols w:space="720"/>
          <w:noEndnote/>
          <w:docGrid w:linePitch="360"/>
        </w:sectPr>
      </w:pPr>
    </w:p>
    <w:p>
      <w:pPr>
        <w:pStyle w:val="Style14"/>
        <w:widowControl w:val="0"/>
        <w:keepNext w:val="0"/>
        <w:keepLines w:val="0"/>
        <w:shd w:val="clear" w:color="auto" w:fill="auto"/>
        <w:bidi w:val="0"/>
        <w:jc w:val="left"/>
        <w:spacing w:before="0" w:after="544"/>
        <w:ind w:left="620" w:right="5820"/>
      </w:pPr>
      <w:r>
        <w:rPr>
          <w:lang w:val="pl-PL" w:eastAsia="pl-PL" w:bidi="pl-PL"/>
          <w:sz w:val="24"/>
          <w:szCs w:val="24"/>
          <w:w w:val="100"/>
          <w:spacing w:val="0"/>
          <w:color w:val="000000"/>
          <w:position w:val="0"/>
        </w:rPr>
        <w:t>IZBA ADMINISTRACJI SKARBOWEJ W ZIELONEJ GÓRZE</w:t>
      </w:r>
    </w:p>
    <w:p>
      <w:pPr>
        <w:pStyle w:val="Style16"/>
        <w:widowControl w:val="0"/>
        <w:keepNext w:val="0"/>
        <w:keepLines w:val="0"/>
        <w:shd w:val="clear" w:color="auto" w:fill="auto"/>
        <w:bidi w:val="0"/>
        <w:jc w:val="left"/>
        <w:spacing w:before="0" w:after="563"/>
        <w:ind w:left="0" w:right="7460" w:firstLine="0"/>
      </w:pPr>
      <w:r>
        <w:rPr>
          <w:lang w:val="pl-PL" w:eastAsia="pl-PL" w:bidi="pl-PL"/>
          <w:sz w:val="24"/>
          <w:szCs w:val="24"/>
          <w:w w:val="100"/>
          <w:spacing w:val="0"/>
          <w:color w:val="000000"/>
          <w:position w:val="0"/>
        </w:rPr>
        <w:t>0801-IWW.0921.3.2019.9 UNP: 0801-19-068110</w:t>
      </w:r>
    </w:p>
    <w:p>
      <w:pPr>
        <w:pStyle w:val="Style14"/>
        <w:widowControl w:val="0"/>
        <w:keepNext w:val="0"/>
        <w:keepLines w:val="0"/>
        <w:shd w:val="clear" w:color="auto" w:fill="auto"/>
        <w:bidi w:val="0"/>
        <w:jc w:val="left"/>
        <w:spacing w:before="0" w:after="45" w:line="240" w:lineRule="exact"/>
        <w:ind w:left="2980" w:right="0" w:firstLine="0"/>
      </w:pPr>
      <w:r>
        <w:rPr>
          <w:lang w:val="pl-PL" w:eastAsia="pl-PL" w:bidi="pl-PL"/>
          <w:sz w:val="24"/>
          <w:szCs w:val="24"/>
          <w:w w:val="100"/>
          <w:spacing w:val="0"/>
          <w:color w:val="000000"/>
          <w:position w:val="0"/>
        </w:rPr>
        <w:t>WYSTĄPIENIE POKONTROLNE</w:t>
      </w:r>
    </w:p>
    <w:p>
      <w:pPr>
        <w:pStyle w:val="Style16"/>
        <w:tabs>
          <w:tab w:leader="none" w:pos="8712" w:val="left"/>
        </w:tabs>
        <w:widowControl w:val="0"/>
        <w:keepNext w:val="0"/>
        <w:keepLines w:val="0"/>
        <w:shd w:val="clear" w:color="auto" w:fill="auto"/>
        <w:bidi w:val="0"/>
        <w:jc w:val="both"/>
        <w:spacing w:before="0" w:after="0" w:line="274" w:lineRule="exact"/>
        <w:ind w:left="0" w:right="620" w:firstLine="0"/>
      </w:pPr>
      <w:r>
        <w:rPr>
          <w:lang w:val="pl-PL" w:eastAsia="pl-PL" w:bidi="pl-PL"/>
          <w:sz w:val="24"/>
          <w:szCs w:val="24"/>
          <w:w w:val="100"/>
          <w:spacing w:val="0"/>
          <w:color w:val="000000"/>
          <w:position w:val="0"/>
        </w:rPr>
        <w:t xml:space="preserve">z kontroli w trybie zwykłym przeprowadzonej na podstawie art. 12 ust. 1 w związku z art. 6 ust. 5 ustawy z dnia 15 lipca 2011 r. o kontroli w administracji rządowej (Dz. U. Nr 185 poz. 1092) w Urzędzie Skarbowym w Gorzowie Wlkp. w zakresie „ </w:t>
      </w:r>
      <w:r>
        <w:rPr>
          <w:rStyle w:val="CharStyle18"/>
        </w:rPr>
        <w:t>Wykonywanie zadań wierzyciela po umorzeniu postępowania egzekucyjnego”.</w:t>
      </w:r>
      <w:r>
        <w:rPr>
          <w:lang w:val="pl-PL" w:eastAsia="pl-PL" w:bidi="pl-PL"/>
          <w:sz w:val="24"/>
          <w:szCs w:val="24"/>
          <w:w w:val="100"/>
          <w:spacing w:val="0"/>
          <w:color w:val="000000"/>
          <w:position w:val="0"/>
        </w:rPr>
        <w:t xml:space="preserve"> Kontrolę przeprowadzi U Pani</w:t>
        <w:tab/>
        <w:t>ekspert</w:t>
      </w:r>
    </w:p>
    <w:p>
      <w:pPr>
        <w:pStyle w:val="Style16"/>
        <w:tabs>
          <w:tab w:leader="none" w:pos="3158" w:val="left"/>
          <w:tab w:leader="none" w:pos="6912" w:val="left"/>
        </w:tabs>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skarbowy, Pani</w:t>
        <w:tab/>
        <w:t>ekspert skarbowy, Pani</w:t>
        <w:tab/>
        <w:t>główny ekspert skarbowy</w:t>
      </w:r>
    </w:p>
    <w:p>
      <w:pPr>
        <w:pStyle w:val="Style16"/>
        <w:tabs>
          <w:tab w:leader="none" w:pos="2587" w:val="left"/>
        </w:tabs>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oraz Pani</w:t>
        <w:tab/>
        <w:t>ekspert skarbowy w dniach od 18 marca 2019 r. do 9 kwietnia 2019 r.</w:t>
      </w:r>
    </w:p>
    <w:p>
      <w:pPr>
        <w:pStyle w:val="Style16"/>
        <w:widowControl w:val="0"/>
        <w:keepNext w:val="0"/>
        <w:keepLines w:val="0"/>
        <w:shd w:val="clear" w:color="auto" w:fill="auto"/>
        <w:bidi w:val="0"/>
        <w:jc w:val="both"/>
        <w:spacing w:before="0" w:after="0" w:line="274" w:lineRule="exact"/>
        <w:ind w:left="0" w:right="620" w:firstLine="0"/>
      </w:pPr>
      <w:r>
        <w:rPr>
          <w:lang w:val="pl-PL" w:eastAsia="pl-PL" w:bidi="pl-PL"/>
          <w:sz w:val="24"/>
          <w:szCs w:val="24"/>
          <w:w w:val="100"/>
          <w:spacing w:val="0"/>
          <w:color w:val="000000"/>
          <w:position w:val="0"/>
        </w:rPr>
        <w:t>na podstawie upoważnienia do kontroli nr 4/2019/US z dnia 14 marca 2019 r., które okazano przed przystąpieniem do czynności kontrolnych Naczelnikowi Urzędu Skarbowego w Gorzowie Wlkp. Pani Alicji Listwon.</w:t>
      </w:r>
    </w:p>
    <w:p>
      <w:pPr>
        <w:pStyle w:val="Style16"/>
        <w:widowControl w:val="0"/>
        <w:keepNext w:val="0"/>
        <w:keepLines w:val="0"/>
        <w:shd w:val="clear" w:color="auto" w:fill="auto"/>
        <w:bidi w:val="0"/>
        <w:jc w:val="both"/>
        <w:spacing w:before="0" w:after="567" w:line="274" w:lineRule="exact"/>
        <w:ind w:left="0" w:right="0" w:firstLine="0"/>
      </w:pPr>
      <w:r>
        <w:rPr>
          <w:lang w:val="pl-PL" w:eastAsia="pl-PL" w:bidi="pl-PL"/>
          <w:sz w:val="24"/>
          <w:szCs w:val="24"/>
          <w:w w:val="100"/>
          <w:spacing w:val="0"/>
          <w:color w:val="000000"/>
          <w:position w:val="0"/>
        </w:rPr>
        <w:t>Kontrolę wpisano do ewidencji kontroli urzędu skarbowego w pozycji nr 3/2019.</w:t>
      </w:r>
    </w:p>
    <w:p>
      <w:pPr>
        <w:pStyle w:val="Style14"/>
        <w:widowControl w:val="0"/>
        <w:keepNext w:val="0"/>
        <w:keepLines w:val="0"/>
        <w:shd w:val="clear" w:color="auto" w:fill="auto"/>
        <w:bidi w:val="0"/>
        <w:jc w:val="left"/>
        <w:spacing w:before="0" w:after="219" w:line="240" w:lineRule="exact"/>
        <w:ind w:left="4100" w:right="0" w:firstLine="0"/>
      </w:pPr>
      <w:r>
        <w:rPr>
          <w:lang w:val="pl-PL" w:eastAsia="pl-PL" w:bidi="pl-PL"/>
          <w:sz w:val="24"/>
          <w:szCs w:val="24"/>
          <w:w w:val="100"/>
          <w:spacing w:val="0"/>
          <w:color w:val="000000"/>
          <w:position w:val="0"/>
        </w:rPr>
        <w:t>USTALENIA</w:t>
      </w:r>
    </w:p>
    <w:p>
      <w:pPr>
        <w:pStyle w:val="Style19"/>
        <w:numPr>
          <w:ilvl w:val="0"/>
          <w:numId w:val="1"/>
        </w:numPr>
        <w:tabs>
          <w:tab w:leader="none" w:pos="355" w:val="left"/>
        </w:tabs>
        <w:widowControl w:val="0"/>
        <w:keepNext/>
        <w:keepLines/>
        <w:shd w:val="clear" w:color="auto" w:fill="auto"/>
        <w:bidi w:val="0"/>
        <w:jc w:val="left"/>
        <w:spacing w:before="0" w:after="0"/>
        <w:ind w:left="440" w:right="0"/>
      </w:pPr>
      <w:bookmarkStart w:id="0" w:name="bookmark0"/>
      <w:r>
        <w:rPr>
          <w:lang w:val="pl-PL" w:eastAsia="pl-PL" w:bidi="pl-PL"/>
          <w:sz w:val="24"/>
          <w:szCs w:val="24"/>
          <w:w w:val="100"/>
          <w:spacing w:val="0"/>
          <w:color w:val="000000"/>
          <w:position w:val="0"/>
        </w:rPr>
        <w:t>Organizacja pracy komórek realizujących zadania z zakresu spraw wierzycielskich. Ocena kontroli funkcjonalnej</w:t>
      </w:r>
      <w:bookmarkEnd w:id="0"/>
    </w:p>
    <w:p>
      <w:pPr>
        <w:pStyle w:val="Style16"/>
        <w:widowControl w:val="0"/>
        <w:keepNext w:val="0"/>
        <w:keepLines w:val="0"/>
        <w:shd w:val="clear" w:color="auto" w:fill="auto"/>
        <w:bidi w:val="0"/>
        <w:jc w:val="both"/>
        <w:spacing w:before="0" w:after="116"/>
        <w:ind w:left="0" w:right="620" w:firstLine="0"/>
      </w:pPr>
      <w:r>
        <w:rPr>
          <w:lang w:val="pl-PL" w:eastAsia="pl-PL" w:bidi="pl-PL"/>
          <w:sz w:val="24"/>
          <w:szCs w:val="24"/>
          <w:w w:val="100"/>
          <w:spacing w:val="0"/>
          <w:color w:val="000000"/>
          <w:position w:val="0"/>
        </w:rPr>
        <w:t>Zgodnie z obowiązującym regulaminem organizacyjnym Urzędu Skarbowego w Gorzowie Wlkp. wprowadzonym zarządzeniem nr 27/2018 Dyrektora Izby Administracji Skarbowej w Zielonej Górze z dnia 27 kwietnia 2018 r. zadania z zakresu objętego kontrolą realizują:</w:t>
      </w:r>
    </w:p>
    <w:p>
      <w:pPr>
        <w:pStyle w:val="Style16"/>
        <w:numPr>
          <w:ilvl w:val="0"/>
          <w:numId w:val="3"/>
        </w:numPr>
        <w:tabs>
          <w:tab w:leader="none" w:pos="803" w:val="left"/>
        </w:tabs>
        <w:widowControl w:val="0"/>
        <w:keepNext w:val="0"/>
        <w:keepLines w:val="0"/>
        <w:shd w:val="clear" w:color="auto" w:fill="auto"/>
        <w:bidi w:val="0"/>
        <w:jc w:val="both"/>
        <w:spacing w:before="0" w:after="0" w:line="274" w:lineRule="exact"/>
        <w:ind w:left="840" w:right="620" w:hanging="400"/>
      </w:pPr>
      <w:r>
        <w:rPr>
          <w:lang w:val="pl-PL" w:eastAsia="pl-PL" w:bidi="pl-PL"/>
          <w:sz w:val="24"/>
          <w:szCs w:val="24"/>
          <w:w w:val="100"/>
          <w:spacing w:val="0"/>
          <w:color w:val="000000"/>
          <w:position w:val="0"/>
        </w:rPr>
        <w:t>Pierwszy Referat Spraw Wierzycielskich (SEW-1), który w zakresie swoich zadań ma między innymi składanie wniosków o dokonanie wpisu w Krajowym Rejestrze Sądowym, poszukiwanie majątku zobowiązanych,</w:t>
      </w:r>
    </w:p>
    <w:p>
      <w:pPr>
        <w:pStyle w:val="Style16"/>
        <w:numPr>
          <w:ilvl w:val="0"/>
          <w:numId w:val="3"/>
        </w:numPr>
        <w:tabs>
          <w:tab w:leader="none" w:pos="803" w:val="left"/>
        </w:tabs>
        <w:widowControl w:val="0"/>
        <w:keepNext w:val="0"/>
        <w:keepLines w:val="0"/>
        <w:shd w:val="clear" w:color="auto" w:fill="auto"/>
        <w:bidi w:val="0"/>
        <w:jc w:val="left"/>
        <w:spacing w:before="0" w:after="0"/>
        <w:ind w:left="840" w:right="620" w:hanging="400"/>
      </w:pPr>
      <w:r>
        <w:rPr>
          <w:lang w:val="pl-PL" w:eastAsia="pl-PL" w:bidi="pl-PL"/>
          <w:sz w:val="24"/>
          <w:szCs w:val="24"/>
          <w:w w:val="100"/>
          <w:spacing w:val="0"/>
          <w:color w:val="000000"/>
          <w:position w:val="0"/>
        </w:rPr>
        <w:t>Drugi Referat Spraw Wierzycielskich (SEW-2), który w zakresie swoich zadań ma między innymi:</w:t>
      </w:r>
    </w:p>
    <w:p>
      <w:pPr>
        <w:pStyle w:val="Style16"/>
        <w:numPr>
          <w:ilvl w:val="0"/>
          <w:numId w:val="5"/>
        </w:numPr>
        <w:tabs>
          <w:tab w:leader="none" w:pos="1239" w:val="left"/>
        </w:tabs>
        <w:widowControl w:val="0"/>
        <w:keepNext w:val="0"/>
        <w:keepLines w:val="0"/>
        <w:shd w:val="clear" w:color="auto" w:fill="auto"/>
        <w:bidi w:val="0"/>
        <w:jc w:val="both"/>
        <w:spacing w:before="0" w:after="0" w:line="274" w:lineRule="exact"/>
        <w:ind w:left="840" w:right="0" w:firstLine="0"/>
      </w:pPr>
      <w:r>
        <w:rPr>
          <w:lang w:val="pl-PL" w:eastAsia="pl-PL" w:bidi="pl-PL"/>
          <w:sz w:val="24"/>
          <w:szCs w:val="24"/>
          <w:w w:val="100"/>
          <w:spacing w:val="0"/>
          <w:color w:val="000000"/>
          <w:position w:val="0"/>
        </w:rPr>
        <w:t>prowadzenie spraw w szczególności w zakresie:</w:t>
      </w:r>
    </w:p>
    <w:p>
      <w:pPr>
        <w:pStyle w:val="Style16"/>
        <w:numPr>
          <w:ilvl w:val="0"/>
          <w:numId w:val="3"/>
        </w:numPr>
        <w:tabs>
          <w:tab w:leader="none" w:pos="1475" w:val="left"/>
        </w:tabs>
        <w:widowControl w:val="0"/>
        <w:keepNext w:val="0"/>
        <w:keepLines w:val="0"/>
        <w:shd w:val="clear" w:color="auto" w:fill="auto"/>
        <w:bidi w:val="0"/>
        <w:jc w:val="both"/>
        <w:spacing w:before="0" w:after="0" w:line="274" w:lineRule="exact"/>
        <w:ind w:left="1220" w:right="620" w:firstLine="0"/>
      </w:pPr>
      <w:r>
        <w:rPr>
          <w:lang w:val="pl-PL" w:eastAsia="pl-PL" w:bidi="pl-PL"/>
          <w:sz w:val="24"/>
          <w:szCs w:val="24"/>
          <w:w w:val="100"/>
          <w:spacing w:val="0"/>
          <w:color w:val="000000"/>
          <w:position w:val="0"/>
        </w:rPr>
        <w:t>ulg w spłacie zobowiązań podatkowych oraz innych ulg przewidzianych przepisami prawa, w tym ulg w spłacie należności pieniężnych przypadających państwom członkowskim i państwom trzecim,</w:t>
      </w:r>
    </w:p>
    <w:p>
      <w:pPr>
        <w:pStyle w:val="Style16"/>
        <w:numPr>
          <w:ilvl w:val="0"/>
          <w:numId w:val="3"/>
        </w:numPr>
        <w:tabs>
          <w:tab w:leader="none" w:pos="1475" w:val="left"/>
        </w:tabs>
        <w:widowControl w:val="0"/>
        <w:keepNext w:val="0"/>
        <w:keepLines w:val="0"/>
        <w:shd w:val="clear" w:color="auto" w:fill="auto"/>
        <w:bidi w:val="0"/>
        <w:jc w:val="both"/>
        <w:spacing w:before="0" w:after="0" w:line="274" w:lineRule="exact"/>
        <w:ind w:left="1220" w:right="620" w:firstLine="0"/>
      </w:pPr>
      <w:r>
        <w:rPr>
          <w:lang w:val="pl-PL" w:eastAsia="pl-PL" w:bidi="pl-PL"/>
          <w:sz w:val="24"/>
          <w:szCs w:val="24"/>
          <w:w w:val="100"/>
          <w:spacing w:val="0"/>
          <w:color w:val="000000"/>
          <w:position w:val="0"/>
        </w:rPr>
        <w:t>przeniesienia własności rzeczy lub praw majątkowych na rzecz Skarbu Państwa skutkującego wygaśnięciem zobowiązań podatkowych;</w:t>
      </w:r>
    </w:p>
    <w:p>
      <w:pPr>
        <w:pStyle w:val="Style16"/>
        <w:numPr>
          <w:ilvl w:val="0"/>
          <w:numId w:val="5"/>
        </w:numPr>
        <w:tabs>
          <w:tab w:leader="none" w:pos="1239" w:val="left"/>
        </w:tabs>
        <w:widowControl w:val="0"/>
        <w:keepNext w:val="0"/>
        <w:keepLines w:val="0"/>
        <w:shd w:val="clear" w:color="auto" w:fill="auto"/>
        <w:bidi w:val="0"/>
        <w:jc w:val="both"/>
        <w:spacing w:before="0" w:after="0" w:line="274" w:lineRule="exact"/>
        <w:ind w:left="840" w:right="0" w:firstLine="0"/>
      </w:pPr>
      <w:r>
        <w:rPr>
          <w:lang w:val="pl-PL" w:eastAsia="pl-PL" w:bidi="pl-PL"/>
          <w:sz w:val="24"/>
          <w:szCs w:val="24"/>
          <w:w w:val="100"/>
          <w:spacing w:val="0"/>
          <w:color w:val="000000"/>
          <w:position w:val="0"/>
        </w:rPr>
        <w:t>udzielanie ulg w spłacie kary grzywny nałożonej w drodze mandatu karnego,</w:t>
      </w:r>
    </w:p>
    <w:p>
      <w:pPr>
        <w:pStyle w:val="Style16"/>
        <w:numPr>
          <w:ilvl w:val="0"/>
          <w:numId w:val="5"/>
        </w:numPr>
        <w:tabs>
          <w:tab w:leader="none" w:pos="1239" w:val="left"/>
        </w:tabs>
        <w:widowControl w:val="0"/>
        <w:keepNext w:val="0"/>
        <w:keepLines w:val="0"/>
        <w:shd w:val="clear" w:color="auto" w:fill="auto"/>
        <w:bidi w:val="0"/>
        <w:jc w:val="left"/>
        <w:spacing w:before="0" w:after="0" w:line="283" w:lineRule="exact"/>
        <w:ind w:left="1220" w:right="0" w:hanging="380"/>
      </w:pPr>
      <w:r>
        <w:rPr>
          <w:lang w:val="pl-PL" w:eastAsia="pl-PL" w:bidi="pl-PL"/>
          <w:sz w:val="24"/>
          <w:szCs w:val="24"/>
          <w:w w:val="100"/>
          <w:spacing w:val="0"/>
          <w:color w:val="000000"/>
          <w:position w:val="0"/>
        </w:rPr>
        <w:t>inicjowanie i udział w postępowaniach o uznanie za bezskuteczną czynności prawnej dłużnika dokonanej z pokrzywdzeniem wierzycieli,</w:t>
      </w:r>
    </w:p>
    <w:p>
      <w:pPr>
        <w:pStyle w:val="Style16"/>
        <w:numPr>
          <w:ilvl w:val="0"/>
          <w:numId w:val="3"/>
        </w:numPr>
        <w:tabs>
          <w:tab w:leader="none" w:pos="803" w:val="left"/>
        </w:tabs>
        <w:widowControl w:val="0"/>
        <w:keepNext w:val="0"/>
        <w:keepLines w:val="0"/>
        <w:shd w:val="clear" w:color="auto" w:fill="auto"/>
        <w:bidi w:val="0"/>
        <w:jc w:val="left"/>
        <w:spacing w:before="0" w:after="0" w:line="283" w:lineRule="exact"/>
        <w:ind w:left="840" w:right="620" w:hanging="400"/>
      </w:pPr>
      <w:r>
        <w:rPr>
          <w:lang w:val="pl-PL" w:eastAsia="pl-PL" w:bidi="pl-PL"/>
          <w:sz w:val="24"/>
          <w:szCs w:val="24"/>
          <w:w w:val="100"/>
          <w:spacing w:val="0"/>
          <w:color w:val="000000"/>
          <w:position w:val="0"/>
        </w:rPr>
        <w:t>Trzeci Referat Spraw Wierzycielskich (SEW-3), który między innymi wykonuje zadania w zakresie:</w:t>
      </w:r>
    </w:p>
    <w:p>
      <w:pPr>
        <w:pStyle w:val="Style16"/>
        <w:numPr>
          <w:ilvl w:val="0"/>
          <w:numId w:val="5"/>
        </w:numPr>
        <w:tabs>
          <w:tab w:leader="none" w:pos="1239" w:val="left"/>
        </w:tabs>
        <w:widowControl w:val="0"/>
        <w:keepNext w:val="0"/>
        <w:keepLines w:val="0"/>
        <w:shd w:val="clear" w:color="auto" w:fill="auto"/>
        <w:bidi w:val="0"/>
        <w:jc w:val="both"/>
        <w:spacing w:before="0" w:after="0" w:line="283" w:lineRule="exact"/>
        <w:ind w:left="840" w:right="0" w:firstLine="0"/>
      </w:pPr>
      <w:r>
        <w:rPr>
          <w:lang w:val="pl-PL" w:eastAsia="pl-PL" w:bidi="pl-PL"/>
          <w:sz w:val="24"/>
          <w:szCs w:val="24"/>
          <w:w w:val="100"/>
          <w:spacing w:val="0"/>
          <w:color w:val="000000"/>
          <w:position w:val="0"/>
        </w:rPr>
        <w:t>odpowiedzialności osób trzecich za zaległości podatkowe,</w:t>
      </w:r>
    </w:p>
    <w:p>
      <w:pPr>
        <w:pStyle w:val="Style16"/>
        <w:numPr>
          <w:ilvl w:val="0"/>
          <w:numId w:val="5"/>
        </w:numPr>
        <w:tabs>
          <w:tab w:leader="none" w:pos="1239" w:val="left"/>
        </w:tabs>
        <w:widowControl w:val="0"/>
        <w:keepNext w:val="0"/>
        <w:keepLines w:val="0"/>
        <w:shd w:val="clear" w:color="auto" w:fill="auto"/>
        <w:bidi w:val="0"/>
        <w:jc w:val="left"/>
        <w:spacing w:before="0" w:after="0" w:line="283" w:lineRule="exact"/>
        <w:ind w:left="1220" w:right="620" w:hanging="380"/>
      </w:pPr>
      <w:r>
        <w:pict>
          <v:shape id="_x0000_s1030" type="#_x0000_t202" style="position:absolute;margin-left:3.85pt;margin-top:30.95pt;width:25.9pt;height:19.45pt;z-index:-125829376;mso-wrap-distance-left:5.pt;mso-wrap-distance-right:5.pt;mso-position-horizontal-relative:margin" wrapcoords="771 0 17421 0 17421 12217 21600 13728 21600 21600 0 21600 0 13728 771 12217 771 0" filled="f" stroked="f">
            <v:textbox style="mso-fit-shape-to-text:t" inset="0,0,0,0">
              <w:txbxContent>
                <w:p>
                  <w:pPr>
                    <w:framePr w:h="389" w:hSpace="77" w:wrap="notBeside" w:vAnchor="text" w:hAnchor="margin" w:x="78" w:y="620"/>
                    <w:widowControl w:val="0"/>
                    <w:jc w:val="center"/>
                    <w:rPr>
                      <w:sz w:val="2"/>
                      <w:szCs w:val="2"/>
                    </w:rPr>
                  </w:pPr>
                  <w:r>
                    <w:pict>
                      <v:shape id="_x0000_s1031" type="#_x0000_t75" style="width:26pt;height:20pt;">
                        <v:imagedata r:id="rId9" r:href="rId10"/>
                      </v:shape>
                    </w:pict>
                  </w:r>
                </w:p>
                <w:p>
                  <w:pPr>
                    <w:pStyle w:val="Style9"/>
                    <w:tabs>
                      <w:tab w:leader="none" w:pos="437" w:val="left"/>
                    </w:tabs>
                    <w:widowControl w:val="0"/>
                    <w:keepNext w:val="0"/>
                    <w:keepLines w:val="0"/>
                    <w:shd w:val="clear" w:color="auto" w:fill="auto"/>
                    <w:bidi w:val="0"/>
                    <w:spacing w:before="0" w:after="0" w:line="190" w:lineRule="exact"/>
                    <w:ind w:left="0" w:right="0" w:firstLine="0"/>
                  </w:pPr>
                  <w:r>
                    <w:rPr>
                      <w:rStyle w:val="CharStyle11"/>
                    </w:rPr>
                    <w:t>&lt;■</w:t>
                  </w:r>
                  <w:r>
                    <w:rPr>
                      <w:lang w:val="pl-PL" w:eastAsia="pl-PL" w:bidi="pl-PL"/>
                      <w:w w:val="100"/>
                      <w:spacing w:val="0"/>
                      <w:color w:val="000000"/>
                      <w:position w:val="0"/>
                    </w:rPr>
                    <w:tab/>
                    <w:t>A-3"</w:t>
                  </w:r>
                </w:p>
                <w:p>
                  <w:pPr>
                    <w:pStyle w:val="Style12"/>
                    <w:widowControl w:val="0"/>
                    <w:keepNext w:val="0"/>
                    <w:keepLines w:val="0"/>
                    <w:shd w:val="clear" w:color="auto" w:fill="auto"/>
                    <w:bidi w:val="0"/>
                    <w:spacing w:before="0" w:after="0" w:line="90" w:lineRule="exact"/>
                    <w:ind w:left="0" w:right="0" w:firstLine="0"/>
                  </w:pPr>
                  <w:r>
                    <w:rPr>
                      <w:lang w:val="pl-PL" w:eastAsia="pl-PL" w:bidi="pl-PL"/>
                      <w:w w:val="100"/>
                      <w:spacing w:val="0"/>
                      <w:color w:val="000000"/>
                      <w:position w:val="0"/>
                    </w:rPr>
                    <w:t>Skarbowa</w:t>
                  </w:r>
                </w:p>
              </w:txbxContent>
            </v:textbox>
            <w10:wrap type="topAndBottom" anchorx="margin"/>
          </v:shape>
        </w:pict>
      </w:r>
      <w:r>
        <w:rPr>
          <w:lang w:val="pl-PL" w:eastAsia="pl-PL" w:bidi="pl-PL"/>
          <w:sz w:val="24"/>
          <w:szCs w:val="24"/>
          <w:w w:val="100"/>
          <w:spacing w:val="0"/>
          <w:color w:val="000000"/>
          <w:position w:val="0"/>
        </w:rPr>
        <w:t>inicjowania i udziału w postępowaniach upadłościowym, naprawczym, likwidacyjnym i restrukturyzacyjnym, w tym występowanie z wnioskiem o ogłoszenie upadłości czy</w:t>
      </w:r>
    </w:p>
    <w:p>
      <w:pPr>
        <w:pStyle w:val="Style21"/>
        <w:widowControl w:val="0"/>
        <w:keepNext w:val="0"/>
        <w:keepLines w:val="0"/>
        <w:shd w:val="clear" w:color="auto" w:fill="auto"/>
        <w:bidi w:val="0"/>
        <w:jc w:val="left"/>
        <w:spacing w:before="0" w:after="0" w:line="160" w:lineRule="exact"/>
        <w:ind w:left="0" w:right="0" w:firstLine="0"/>
      </w:pPr>
      <w:r>
        <w:rPr>
          <w:lang w:val="pl-PL" w:eastAsia="pl-PL" w:bidi="pl-PL"/>
          <w:w w:val="100"/>
          <w:spacing w:val="0"/>
          <w:color w:val="000000"/>
          <w:position w:val="0"/>
        </w:rPr>
        <w:t xml:space="preserve">ul. Generała Władysława Sikorskiego 2, 65-454 Zielona Góra </w:t>
      </w:r>
      <w:r>
        <w:fldChar w:fldCharType="begin"/>
      </w:r>
      <w:r>
        <w:rPr>
          <w:rStyle w:val="CharStyle23"/>
        </w:rPr>
        <w:instrText> HYPERLINK "http://www.lubuskie.kas.aov.pl/izba-adminislraqi-skarbowei-w-zielonei-qorze" </w:instrText>
      </w:r>
      <w:r>
        <w:fldChar w:fldCharType="separate"/>
      </w:r>
      <w:r>
        <w:rPr>
          <w:rStyle w:val="Hyperlink"/>
        </w:rPr>
        <w:t>http://www.lubuskie.kas.aov.pl/izba-adminislraqi-skarbowei-w-zielonei-qorze</w:t>
      </w:r>
      <w:r>
        <w:fldChar w:fldCharType="end"/>
      </w:r>
      <w:r>
        <w:br w:type="page"/>
      </w:r>
    </w:p>
    <w:p>
      <w:pPr>
        <w:pStyle w:val="Style16"/>
        <w:widowControl w:val="0"/>
        <w:keepNext w:val="0"/>
        <w:keepLines w:val="0"/>
        <w:shd w:val="clear" w:color="auto" w:fill="auto"/>
        <w:bidi w:val="0"/>
        <w:jc w:val="left"/>
        <w:spacing w:before="0" w:after="192" w:line="283" w:lineRule="exact"/>
        <w:ind w:left="1160" w:right="0" w:firstLine="0"/>
      </w:pPr>
      <w:r>
        <w:rPr>
          <w:lang w:val="pl-PL" w:eastAsia="pl-PL" w:bidi="pl-PL"/>
          <w:sz w:val="24"/>
          <w:szCs w:val="24"/>
          <w:w w:val="100"/>
          <w:spacing w:val="0"/>
          <w:color w:val="000000"/>
          <w:position w:val="0"/>
        </w:rPr>
        <w:t>orzeczenie zakazu prowadzenia działalności gospodarczej, składania wniosków o dokonanie wpisu w Krajowym Rejestrze Sądowym, koordynowania oceny i analizy ryzyka dotyczących braku wykonania zobowiązań podatkowych w wyniku ich przedawnienia.</w:t>
      </w:r>
    </w:p>
    <w:p>
      <w:pPr>
        <w:pStyle w:val="Style16"/>
        <w:widowControl w:val="0"/>
        <w:keepNext w:val="0"/>
        <w:keepLines w:val="0"/>
        <w:shd w:val="clear" w:color="auto" w:fill="auto"/>
        <w:bidi w:val="0"/>
        <w:jc w:val="both"/>
        <w:spacing w:before="0" w:after="56"/>
        <w:ind w:left="0" w:right="680" w:firstLine="0"/>
      </w:pPr>
      <w:r>
        <w:pict>
          <v:shape id="_x0000_s1032" type="#_x0000_t75" style="position:absolute;margin-left:414.5pt;margin-top:-164.15pt;width:119.05pt;height:127.7pt;z-index:-125829375;mso-wrap-distance-left:5.pt;mso-wrap-distance-right:5.pt;mso-wrap-distance-bottom:16.55pt;mso-position-horizontal-relative:margin" wrapcoords="0 0 21600 0 21600 21600 0 21600 0 0">
            <v:imagedata r:id="rId11" r:href="rId12"/>
            <w10:wrap type="square" anchorx="margin"/>
          </v:shape>
        </w:pict>
      </w:r>
      <w:r>
        <w:rPr>
          <w:lang w:val="pl-PL" w:eastAsia="pl-PL" w:bidi="pl-PL"/>
          <w:sz w:val="24"/>
          <w:szCs w:val="24"/>
          <w:w w:val="100"/>
          <w:spacing w:val="0"/>
          <w:color w:val="000000"/>
          <w:position w:val="0"/>
        </w:rPr>
        <w:t>Na dzień rozpoczęcia kontroli w komórkach wierzycielskich Urzędu Skarbowego w Gorzowie Wlkp. było zatrudnionych odpowiednio: SEW-1 - 8 osób, SEW-2 - 8 osób, SEW-3 - 7 osób.</w:t>
      </w:r>
    </w:p>
    <w:p>
      <w:pPr>
        <w:pStyle w:val="Style16"/>
        <w:widowControl w:val="0"/>
        <w:keepNext w:val="0"/>
        <w:keepLines w:val="0"/>
        <w:shd w:val="clear" w:color="auto" w:fill="auto"/>
        <w:bidi w:val="0"/>
        <w:jc w:val="both"/>
        <w:spacing w:before="0" w:after="0" w:line="274" w:lineRule="exact"/>
        <w:ind w:left="0" w:right="680" w:firstLine="0"/>
      </w:pPr>
      <w:r>
        <w:rPr>
          <w:lang w:val="pl-PL" w:eastAsia="pl-PL" w:bidi="pl-PL"/>
          <w:sz w:val="24"/>
          <w:szCs w:val="24"/>
          <w:w w:val="100"/>
          <w:spacing w:val="0"/>
          <w:color w:val="000000"/>
          <w:position w:val="0"/>
        </w:rPr>
        <w:t xml:space="preserve">Celem usystematyzowania oraz wskazania sposobu wykonywania zadań w kontrolowanym zakresie Naczelnik Urzędu wprowadził z dniem 23 maja 2017 r. </w:t>
      </w:r>
      <w:r>
        <w:rPr>
          <w:rStyle w:val="CharStyle18"/>
        </w:rPr>
        <w:t>Wytyczne nr 7/17 w sprawie zarządzania zaległościami podatkowymi</w:t>
      </w:r>
      <w:r>
        <w:rPr>
          <w:lang w:val="pl-PL" w:eastAsia="pl-PL" w:bidi="pl-PL"/>
          <w:sz w:val="24"/>
          <w:szCs w:val="24"/>
          <w:w w:val="100"/>
          <w:spacing w:val="0"/>
          <w:color w:val="000000"/>
          <w:position w:val="0"/>
        </w:rPr>
        <w:t xml:space="preserve"> w </w:t>
      </w:r>
      <w:r>
        <w:rPr>
          <w:rStyle w:val="CharStyle18"/>
        </w:rPr>
        <w:t>tym zapobiegania przedawnieniom.</w:t>
      </w:r>
      <w:r>
        <w:rPr>
          <w:lang w:val="pl-PL" w:eastAsia="pl-PL" w:bidi="pl-PL"/>
          <w:sz w:val="24"/>
          <w:szCs w:val="24"/>
          <w:w w:val="100"/>
          <w:spacing w:val="0"/>
          <w:color w:val="000000"/>
          <w:position w:val="0"/>
        </w:rPr>
        <w:t xml:space="preserve"> Wytyczne wskazują podstawowe zasady, które są zobowiązani przestrzegać wszyscy pracownicy Urzędu Skarbowego w Gorzowie Wlkp. W Wytycznych wskazano również reguły oraz sposób postępowania w sprawach z zakresu objętego niniejszą kontrolą. Wytyczne są zgodne z </w:t>
      </w:r>
      <w:r>
        <w:rPr>
          <w:rStyle w:val="CharStyle18"/>
        </w:rPr>
        <w:t>Wytycznymi Izby Skarbowej w Zielonej Górze dotyczącymi zarządzania zaległościami podatkowymi w urzędzie skarbowym z dnia 24 listopada 2016 r.</w:t>
      </w:r>
    </w:p>
    <w:p>
      <w:pPr>
        <w:pStyle w:val="Style16"/>
        <w:widowControl w:val="0"/>
        <w:keepNext w:val="0"/>
        <w:keepLines w:val="0"/>
        <w:shd w:val="clear" w:color="auto" w:fill="auto"/>
        <w:bidi w:val="0"/>
        <w:jc w:val="both"/>
        <w:spacing w:before="0" w:after="180" w:line="274" w:lineRule="exact"/>
        <w:ind w:left="0" w:right="680" w:firstLine="0"/>
      </w:pPr>
      <w:r>
        <w:rPr>
          <w:lang w:val="pl-PL" w:eastAsia="pl-PL" w:bidi="pl-PL"/>
          <w:sz w:val="24"/>
          <w:szCs w:val="24"/>
          <w:w w:val="100"/>
          <w:spacing w:val="0"/>
          <w:color w:val="000000"/>
          <w:position w:val="0"/>
        </w:rPr>
        <w:t xml:space="preserve">Ponadto w Urzędzie wprowadzono </w:t>
      </w:r>
      <w:r>
        <w:rPr>
          <w:rStyle w:val="CharStyle18"/>
        </w:rPr>
        <w:t>Wytyczne nr 4/2017 z dnia 5 kwietnia 2017 r. w sprawie przyznawania ulg uznaniowych w spłacie zobowiązań podatkowych</w:t>
      </w:r>
      <w:r>
        <w:rPr>
          <w:lang w:val="pl-PL" w:eastAsia="pl-PL" w:bidi="pl-PL"/>
          <w:sz w:val="24"/>
          <w:szCs w:val="24"/>
          <w:w w:val="100"/>
          <w:spacing w:val="0"/>
          <w:color w:val="000000"/>
          <w:position w:val="0"/>
        </w:rPr>
        <w:t xml:space="preserve"> oraz karty informacyjne w zakresie udzielania indywidulanych ulg w spłacie zobowiązań podatkowych dla przedsiębiorców oraz dla osób fizycznych nieprowadzących działalności gospodarczej.</w:t>
      </w:r>
    </w:p>
    <w:p>
      <w:pPr>
        <w:pStyle w:val="Style16"/>
        <w:widowControl w:val="0"/>
        <w:keepNext w:val="0"/>
        <w:keepLines w:val="0"/>
        <w:shd w:val="clear" w:color="auto" w:fill="auto"/>
        <w:bidi w:val="0"/>
        <w:jc w:val="both"/>
        <w:spacing w:before="0" w:after="176" w:line="274" w:lineRule="exact"/>
        <w:ind w:left="0" w:right="680" w:firstLine="0"/>
      </w:pPr>
      <w:r>
        <w:rPr>
          <w:lang w:val="pl-PL" w:eastAsia="pl-PL" w:bidi="pl-PL"/>
          <w:sz w:val="24"/>
          <w:szCs w:val="24"/>
          <w:w w:val="100"/>
          <w:spacing w:val="0"/>
          <w:color w:val="000000"/>
          <w:position w:val="0"/>
        </w:rPr>
        <w:t>Zgodnie z obowiązującym regulaminem organizacyjnym bezpośredni nadzór nad działaniami komórek SEW pełni II Zastępca Naczelnika Urzędu Skarbowego w Gorzowie Wlkp., w szczególności nadzoruje i koordynuje prace podległych komórek organizacyjnych oraz sprawuje nadzór nad prawidłowością i terminowością załatwiania spraw przez te komórki organizacyjne. Zgodnie z wyjaśnieniami Naczelnika Urzędu dodatkowo w ramach nadzoru nad pracą podległych komórek sporządzane są raporty z baz Urzędu (CZM, e-Orus), dokonywana jest analiza raportów dotyczących terminowości załatwianych spraw, odbywają się narady Naczelników z podległymi kierownikami, jak również prowadzona jest kontrola funkcjonalna realizowana zgodnie z planem kontroli wyznaczonym przez Naczelnika Urzędu oraz bieżący nadzór nad pracą podległych pracowników.</w:t>
      </w:r>
    </w:p>
    <w:p>
      <w:pPr>
        <w:pStyle w:val="Style16"/>
        <w:widowControl w:val="0"/>
        <w:keepNext w:val="0"/>
        <w:keepLines w:val="0"/>
        <w:shd w:val="clear" w:color="auto" w:fill="auto"/>
        <w:bidi w:val="0"/>
        <w:jc w:val="both"/>
        <w:spacing w:before="0" w:after="0" w:line="278" w:lineRule="exact"/>
        <w:ind w:left="0" w:right="680" w:firstLine="0"/>
      </w:pPr>
      <w:r>
        <w:rPr>
          <w:lang w:val="pl-PL" w:eastAsia="pl-PL" w:bidi="pl-PL"/>
          <w:sz w:val="24"/>
          <w:szCs w:val="24"/>
          <w:w w:val="100"/>
          <w:spacing w:val="0"/>
          <w:color w:val="000000"/>
          <w:position w:val="0"/>
        </w:rPr>
        <w:t>Zgodnie z obowiązującym regulaminem organizacyjnym Urzędu Skarbowego w Gorzowie Wlkp. stanowiącym załącznik do zarządzenia nr 27/2018 Dyrektora Izby Administracji Skarbowej w Zielonej Górze z dnia 27 kwietnia 2018 r., II Zastępca Naczelnika jest upoważniony do podpisywania decyzji i postanowień wydawanych w pierwszej instancji w sprawach należących do właściwości nadzorowanych komórek organizacyjnych, niezastrzeżonych do podpisu przez Naczelnika Urzędu Skarbowego, a także do wyrażania stanowiska Naczelnika Urzędu Skarbowego w sprawach należących do właściwości nadzorowanych komórek organizacyjnych oraz pozostałą korespondencję związaną z zakresem działania nadzorowanych komórek organizacyjnych.</w:t>
      </w:r>
    </w:p>
    <w:p>
      <w:pPr>
        <w:pStyle w:val="Style16"/>
        <w:widowControl w:val="0"/>
        <w:keepNext w:val="0"/>
        <w:keepLines w:val="0"/>
        <w:shd w:val="clear" w:color="auto" w:fill="auto"/>
        <w:bidi w:val="0"/>
        <w:jc w:val="both"/>
        <w:spacing w:before="0" w:after="0" w:line="283" w:lineRule="exact"/>
        <w:ind w:left="0" w:right="680" w:firstLine="0"/>
      </w:pPr>
      <w:r>
        <w:rPr>
          <w:lang w:val="pl-PL" w:eastAsia="pl-PL" w:bidi="pl-PL"/>
          <w:sz w:val="24"/>
          <w:szCs w:val="24"/>
          <w:w w:val="100"/>
          <w:spacing w:val="0"/>
          <w:color w:val="000000"/>
          <w:position w:val="0"/>
        </w:rPr>
        <w:t>Kierownicy komórek organizacyjnych podpisują korespondencję związaną z zakresem działania komórki organizacyjnej, niezastrzeżoną do właściwości Naczelnika Urzędu Skarbowego oraz Zastępców Naczelnika oraz korespondencję kierowaną w ramach współpracy do innych komórek organizacyjnych.</w:t>
      </w:r>
    </w:p>
    <w:p>
      <w:pPr>
        <w:pStyle w:val="Style16"/>
        <w:widowControl w:val="0"/>
        <w:keepNext w:val="0"/>
        <w:keepLines w:val="0"/>
        <w:shd w:val="clear" w:color="auto" w:fill="auto"/>
        <w:bidi w:val="0"/>
        <w:jc w:val="both"/>
        <w:spacing w:before="0" w:after="0" w:line="278" w:lineRule="exact"/>
        <w:ind w:left="0" w:right="680" w:firstLine="0"/>
      </w:pPr>
      <w:r>
        <w:rPr>
          <w:lang w:val="pl-PL" w:eastAsia="pl-PL" w:bidi="pl-PL"/>
          <w:sz w:val="24"/>
          <w:szCs w:val="24"/>
          <w:w w:val="100"/>
          <w:spacing w:val="0"/>
          <w:color w:val="000000"/>
          <w:position w:val="0"/>
        </w:rPr>
        <w:t>Pracownicy Urzędu Skarbowego podpisują wezwania kierowane do stron i innych osób, za wyjątkiem wezwań do osobistego stawienia się w związku z prowadzonym postępowaniem wyjaśniającym dotyczącym opodatkowania dochodów ze źródeł nieujawnionych, a także</w:t>
      </w:r>
      <w:r>
        <w:br w:type="page"/>
      </w:r>
    </w:p>
    <w:p>
      <w:pPr>
        <w:pStyle w:val="Style16"/>
        <w:widowControl w:val="0"/>
        <w:keepNext w:val="0"/>
        <w:keepLines w:val="0"/>
        <w:shd w:val="clear" w:color="auto" w:fill="auto"/>
        <w:bidi w:val="0"/>
        <w:jc w:val="both"/>
        <w:spacing w:before="0" w:after="112" w:line="259" w:lineRule="exact"/>
        <w:ind w:left="340" w:right="380" w:firstLine="0"/>
      </w:pPr>
      <w:r>
        <w:rPr>
          <w:lang w:val="pl-PL" w:eastAsia="pl-PL" w:bidi="pl-PL"/>
          <w:sz w:val="24"/>
          <w:szCs w:val="24"/>
          <w:w w:val="100"/>
          <w:spacing w:val="0"/>
          <w:color w:val="000000"/>
          <w:position w:val="0"/>
        </w:rPr>
        <w:t>zawiadomienia o miejscu i terminie przeprowadzenia dowodów z zeznań świadków, opinii biegłych lub oględzin oraz upomnienia.</w:t>
      </w:r>
    </w:p>
    <w:p>
      <w:pPr>
        <w:pStyle w:val="Style16"/>
        <w:widowControl w:val="0"/>
        <w:keepNext w:val="0"/>
        <w:keepLines w:val="0"/>
        <w:shd w:val="clear" w:color="auto" w:fill="auto"/>
        <w:bidi w:val="0"/>
        <w:jc w:val="both"/>
        <w:spacing w:before="0" w:after="0"/>
        <w:ind w:left="340" w:right="380" w:firstLine="0"/>
      </w:pPr>
      <w:r>
        <w:rPr>
          <w:lang w:val="pl-PL" w:eastAsia="pl-PL" w:bidi="pl-PL"/>
          <w:sz w:val="24"/>
          <w:szCs w:val="24"/>
          <w:w w:val="100"/>
          <w:spacing w:val="0"/>
          <w:color w:val="000000"/>
          <w:position w:val="0"/>
        </w:rPr>
        <w:t>W ramach wykonywanej kontroli wytypowano 6 zakresów czynności - 3 kierowników poszczególnych komórek ds. wierzycielskich oraz po 1 osobie z każdej komórki SEW w celu ich weryfikacji pod kątem aktualności i zgodności z wykonywanymi zadaniami.</w:t>
      </w:r>
    </w:p>
    <w:p>
      <w:pPr>
        <w:pStyle w:val="Style16"/>
        <w:widowControl w:val="0"/>
        <w:keepNext w:val="0"/>
        <w:keepLines w:val="0"/>
        <w:shd w:val="clear" w:color="auto" w:fill="auto"/>
        <w:bidi w:val="0"/>
        <w:jc w:val="both"/>
        <w:spacing w:before="0" w:after="236"/>
        <w:ind w:left="340" w:right="380" w:firstLine="0"/>
      </w:pPr>
      <w:r>
        <w:rPr>
          <w:lang w:val="pl-PL" w:eastAsia="pl-PL" w:bidi="pl-PL"/>
          <w:sz w:val="24"/>
          <w:szCs w:val="24"/>
          <w:w w:val="100"/>
          <w:spacing w:val="0"/>
          <w:color w:val="000000"/>
          <w:position w:val="0"/>
        </w:rPr>
        <w:t>Zakresy obowiązków, uprawnień i odpowiedzialności pracowników są aktualne i podpisane przez pracowników.</w:t>
      </w:r>
    </w:p>
    <w:p>
      <w:pPr>
        <w:pStyle w:val="Style16"/>
        <w:widowControl w:val="0"/>
        <w:keepNext w:val="0"/>
        <w:keepLines w:val="0"/>
        <w:shd w:val="clear" w:color="auto" w:fill="auto"/>
        <w:bidi w:val="0"/>
        <w:jc w:val="both"/>
        <w:spacing w:before="0" w:after="244" w:line="274" w:lineRule="exact"/>
        <w:ind w:left="340" w:right="380" w:firstLine="0"/>
      </w:pPr>
      <w:r>
        <w:rPr>
          <w:lang w:val="pl-PL" w:eastAsia="pl-PL" w:bidi="pl-PL"/>
          <w:sz w:val="24"/>
          <w:szCs w:val="24"/>
          <w:w w:val="100"/>
          <w:spacing w:val="0"/>
          <w:color w:val="000000"/>
          <w:position w:val="0"/>
        </w:rPr>
        <w:t>Ponadto w trakcie kontroli ustalono, że Naczelnik Urzędu Skarbowego w Gorzowie Wlkp., zgodnie z zarządzeniem nr 41/2017 Dyrektora Izby Administracji Skarbowej w Zielonej Górze z dnia 24 czerwca 2017 r., wydał Wytyczne nr 4/2018 z dnia 9 lutego 2018 r. zmieniające Wytyczne nr 8/2017 Naczelnika Urzędu Skarbowego w Gorzowie Wielkopolskim z dnia 06 lipca 2017 r. w sprawie sprawowania kontroli funkcjonalnej wykonywanej w ramach nadzoru służbowego przez osoby zajmujące stanowiska kierownicze w Urzędzie Skarbowym w Gorzowie Wielkopolskim. Zgodnie z terminami wskazanymi w załączniku nr 1 ww. Wytycznych, Naczelnik Urzędu, Zastępca Naczelnika oraz kierownik komórki zobowiązani byli do przeprowadzenia kontroli funkcjonalnej na podstawie wybranej próby do dnia 31 grudnia 2018 r.</w:t>
      </w:r>
    </w:p>
    <w:p>
      <w:pPr>
        <w:pStyle w:val="Style16"/>
        <w:widowControl w:val="0"/>
        <w:keepNext w:val="0"/>
        <w:keepLines w:val="0"/>
        <w:shd w:val="clear" w:color="auto" w:fill="auto"/>
        <w:bidi w:val="0"/>
        <w:jc w:val="both"/>
        <w:spacing w:before="0" w:after="0"/>
        <w:ind w:left="340" w:right="380" w:firstLine="0"/>
      </w:pPr>
      <w:r>
        <w:rPr>
          <w:lang w:val="pl-PL" w:eastAsia="pl-PL" w:bidi="pl-PL"/>
          <w:sz w:val="24"/>
          <w:szCs w:val="24"/>
          <w:w w:val="100"/>
          <w:spacing w:val="0"/>
          <w:color w:val="000000"/>
          <w:position w:val="0"/>
        </w:rPr>
        <w:t>Naczelnik kontrolowanego Urzędu przeprowadził kontrolę funkcjonalną na podstawie ww. Wytycznych w okresie od 3 do 12 grudnia 2018 r. w zakresie:</w:t>
      </w:r>
    </w:p>
    <w:p>
      <w:pPr>
        <w:pStyle w:val="Style16"/>
        <w:numPr>
          <w:ilvl w:val="0"/>
          <w:numId w:val="7"/>
        </w:numPr>
        <w:tabs>
          <w:tab w:leader="none" w:pos="1119" w:val="left"/>
        </w:tabs>
        <w:widowControl w:val="0"/>
        <w:keepNext w:val="0"/>
        <w:keepLines w:val="0"/>
        <w:shd w:val="clear" w:color="auto" w:fill="auto"/>
        <w:bidi w:val="0"/>
        <w:jc w:val="left"/>
        <w:spacing w:before="0" w:after="0"/>
        <w:ind w:left="1180" w:right="0" w:hanging="360"/>
      </w:pPr>
      <w:r>
        <w:rPr>
          <w:lang w:val="pl-PL" w:eastAsia="pl-PL" w:bidi="pl-PL"/>
          <w:sz w:val="24"/>
          <w:szCs w:val="24"/>
          <w:w w:val="100"/>
          <w:spacing w:val="0"/>
          <w:color w:val="000000"/>
          <w:position w:val="0"/>
        </w:rPr>
        <w:t>Prowadzenie postępowań w sprawach ulg w spłacie zobowiązań i innych ulg przewidzianych przepisami prawa - 3 sprawy;</w:t>
      </w:r>
    </w:p>
    <w:p>
      <w:pPr>
        <w:pStyle w:val="Style16"/>
        <w:numPr>
          <w:ilvl w:val="0"/>
          <w:numId w:val="7"/>
        </w:numPr>
        <w:tabs>
          <w:tab w:leader="none" w:pos="1133" w:val="left"/>
        </w:tabs>
        <w:widowControl w:val="0"/>
        <w:keepNext w:val="0"/>
        <w:keepLines w:val="0"/>
        <w:shd w:val="clear" w:color="auto" w:fill="auto"/>
        <w:bidi w:val="0"/>
        <w:jc w:val="left"/>
        <w:spacing w:before="0" w:after="0"/>
        <w:ind w:left="1180" w:right="0" w:hanging="360"/>
      </w:pPr>
      <w:r>
        <w:rPr>
          <w:lang w:val="pl-PL" w:eastAsia="pl-PL" w:bidi="pl-PL"/>
          <w:sz w:val="24"/>
          <w:szCs w:val="24"/>
          <w:w w:val="100"/>
          <w:spacing w:val="0"/>
          <w:color w:val="000000"/>
          <w:position w:val="0"/>
        </w:rPr>
        <w:t>Prowadzenie postępowań podatkowych nadania rygoru natychmiastowej wykonalności - 3 akta;</w:t>
      </w:r>
    </w:p>
    <w:p>
      <w:pPr>
        <w:pStyle w:val="Style16"/>
        <w:numPr>
          <w:ilvl w:val="0"/>
          <w:numId w:val="7"/>
        </w:numPr>
        <w:tabs>
          <w:tab w:leader="none" w:pos="1133" w:val="left"/>
        </w:tabs>
        <w:widowControl w:val="0"/>
        <w:keepNext w:val="0"/>
        <w:keepLines w:val="0"/>
        <w:shd w:val="clear" w:color="auto" w:fill="auto"/>
        <w:bidi w:val="0"/>
        <w:jc w:val="left"/>
        <w:spacing w:before="0" w:after="0"/>
        <w:ind w:left="1180" w:right="0" w:hanging="360"/>
      </w:pPr>
      <w:r>
        <w:rPr>
          <w:lang w:val="pl-PL" w:eastAsia="pl-PL" w:bidi="pl-PL"/>
          <w:sz w:val="24"/>
          <w:szCs w:val="24"/>
          <w:w w:val="100"/>
          <w:spacing w:val="0"/>
          <w:color w:val="000000"/>
          <w:position w:val="0"/>
        </w:rPr>
        <w:t>Prowadzenie postępowań podatkowych w sprawach odpowiedzialności osób trzecich - 3 sprawy.</w:t>
      </w:r>
    </w:p>
    <w:p>
      <w:pPr>
        <w:pStyle w:val="Style16"/>
        <w:widowControl w:val="0"/>
        <w:keepNext w:val="0"/>
        <w:keepLines w:val="0"/>
        <w:shd w:val="clear" w:color="auto" w:fill="auto"/>
        <w:bidi w:val="0"/>
        <w:jc w:val="left"/>
        <w:spacing w:before="0" w:after="0"/>
        <w:ind w:left="340" w:right="0" w:firstLine="0"/>
      </w:pPr>
      <w:r>
        <w:rPr>
          <w:lang w:val="pl-PL" w:eastAsia="pl-PL" w:bidi="pl-PL"/>
          <w:sz w:val="24"/>
          <w:szCs w:val="24"/>
          <w:w w:val="100"/>
          <w:spacing w:val="0"/>
          <w:color w:val="000000"/>
          <w:position w:val="0"/>
        </w:rPr>
        <w:t>W powyższych kontrolach nie stwierdzono nieprawidłowości.</w:t>
      </w:r>
    </w:p>
    <w:p>
      <w:pPr>
        <w:pStyle w:val="Style16"/>
        <w:widowControl w:val="0"/>
        <w:keepNext w:val="0"/>
        <w:keepLines w:val="0"/>
        <w:shd w:val="clear" w:color="auto" w:fill="auto"/>
        <w:bidi w:val="0"/>
        <w:jc w:val="both"/>
        <w:spacing w:before="0" w:after="236" w:line="274" w:lineRule="exact"/>
        <w:ind w:left="340" w:right="380" w:firstLine="0"/>
      </w:pPr>
      <w:r>
        <w:rPr>
          <w:lang w:val="pl-PL" w:eastAsia="pl-PL" w:bidi="pl-PL"/>
          <w:sz w:val="24"/>
          <w:szCs w:val="24"/>
          <w:w w:val="100"/>
          <w:spacing w:val="0"/>
          <w:color w:val="000000"/>
          <w:position w:val="0"/>
        </w:rPr>
        <w:t xml:space="preserve">Naczelnik US sporządził </w:t>
      </w:r>
      <w:r>
        <w:rPr>
          <w:rStyle w:val="CharStyle18"/>
        </w:rPr>
        <w:t>Informacje o przeprowadzonej kontroli funkcjonalnej</w:t>
      </w:r>
      <w:r>
        <w:rPr>
          <w:lang w:val="pl-PL" w:eastAsia="pl-PL" w:bidi="pl-PL"/>
          <w:sz w:val="24"/>
          <w:szCs w:val="24"/>
          <w:w w:val="100"/>
          <w:spacing w:val="0"/>
          <w:color w:val="000000"/>
          <w:position w:val="0"/>
        </w:rPr>
        <w:t xml:space="preserve"> zgodnie z obowiązującymi wzorami.</w:t>
      </w:r>
    </w:p>
    <w:p>
      <w:pPr>
        <w:pStyle w:val="Style16"/>
        <w:widowControl w:val="0"/>
        <w:keepNext w:val="0"/>
        <w:keepLines w:val="0"/>
        <w:shd w:val="clear" w:color="auto" w:fill="auto"/>
        <w:bidi w:val="0"/>
        <w:jc w:val="both"/>
        <w:spacing w:before="0" w:after="0" w:line="278" w:lineRule="exact"/>
        <w:ind w:left="340" w:right="380" w:firstLine="0"/>
      </w:pPr>
      <w:r>
        <w:rPr>
          <w:lang w:val="pl-PL" w:eastAsia="pl-PL" w:bidi="pl-PL"/>
          <w:sz w:val="24"/>
          <w:szCs w:val="24"/>
          <w:w w:val="100"/>
          <w:spacing w:val="0"/>
          <w:color w:val="000000"/>
          <w:position w:val="0"/>
        </w:rPr>
        <w:t>II Zastępca Naczelnika zgodnie z ww. Wytycznymi przeprowadził kontrolę funkcjonalną w dniu 16.11.2018 r. i 19.11.2018 r. w zakresie:</w:t>
      </w:r>
    </w:p>
    <w:p>
      <w:pPr>
        <w:pStyle w:val="Style16"/>
        <w:numPr>
          <w:ilvl w:val="0"/>
          <w:numId w:val="9"/>
        </w:numPr>
        <w:tabs>
          <w:tab w:leader="none" w:pos="1119" w:val="left"/>
        </w:tabs>
        <w:widowControl w:val="0"/>
        <w:keepNext w:val="0"/>
        <w:keepLines w:val="0"/>
        <w:shd w:val="clear" w:color="auto" w:fill="auto"/>
        <w:bidi w:val="0"/>
        <w:jc w:val="both"/>
        <w:spacing w:before="0" w:after="0" w:line="283" w:lineRule="exact"/>
        <w:ind w:left="1040" w:right="380" w:hanging="340"/>
      </w:pPr>
      <w:r>
        <w:rPr>
          <w:lang w:val="pl-PL" w:eastAsia="pl-PL" w:bidi="pl-PL"/>
          <w:sz w:val="24"/>
          <w:szCs w:val="24"/>
          <w:w w:val="100"/>
          <w:spacing w:val="0"/>
          <w:color w:val="000000"/>
          <w:position w:val="0"/>
        </w:rPr>
        <w:t>Prawidłowość i terminowość załatwiania pozostałych spraw wyłączonych z bieżącej kontroli funkcjonalnej na każdym szczeblu zarządzania z uwagi na udzielone upoważnienia do podpisywania pism kończących sprawę</w:t>
      </w:r>
    </w:p>
    <w:p>
      <w:pPr>
        <w:pStyle w:val="Style16"/>
        <w:numPr>
          <w:ilvl w:val="0"/>
          <w:numId w:val="5"/>
        </w:numPr>
        <w:tabs>
          <w:tab w:leader="none" w:pos="1496" w:val="left"/>
        </w:tabs>
        <w:widowControl w:val="0"/>
        <w:keepNext w:val="0"/>
        <w:keepLines w:val="0"/>
        <w:shd w:val="clear" w:color="auto" w:fill="auto"/>
        <w:bidi w:val="0"/>
        <w:jc w:val="both"/>
        <w:spacing w:before="0" w:after="0" w:line="283" w:lineRule="exact"/>
        <w:ind w:left="1480" w:right="380"/>
      </w:pPr>
      <w:r>
        <w:rPr>
          <w:lang w:val="pl-PL" w:eastAsia="pl-PL" w:bidi="pl-PL"/>
          <w:sz w:val="24"/>
          <w:szCs w:val="24"/>
          <w:w w:val="100"/>
          <w:spacing w:val="0"/>
          <w:color w:val="000000"/>
          <w:position w:val="0"/>
        </w:rPr>
        <w:t>w SEW-1 w zakresie korespondencji z organem egzekucyjnym - US - zmiana wysokości zaległości - 5 spraw oraz korespondencji z organem egzekucyjnym - komornik sądowy - 5 spraw,</w:t>
      </w:r>
    </w:p>
    <w:p>
      <w:pPr>
        <w:pStyle w:val="Style16"/>
        <w:numPr>
          <w:ilvl w:val="0"/>
          <w:numId w:val="5"/>
        </w:numPr>
        <w:tabs>
          <w:tab w:leader="none" w:pos="1496" w:val="left"/>
        </w:tabs>
        <w:widowControl w:val="0"/>
        <w:keepNext w:val="0"/>
        <w:keepLines w:val="0"/>
        <w:shd w:val="clear" w:color="auto" w:fill="auto"/>
        <w:bidi w:val="0"/>
        <w:jc w:val="both"/>
        <w:spacing w:before="0" w:after="0" w:line="283" w:lineRule="exact"/>
        <w:ind w:left="1480" w:right="380"/>
      </w:pPr>
      <w:r>
        <w:rPr>
          <w:lang w:val="pl-PL" w:eastAsia="pl-PL" w:bidi="pl-PL"/>
          <w:sz w:val="24"/>
          <w:szCs w:val="24"/>
          <w:w w:val="100"/>
          <w:spacing w:val="0"/>
          <w:color w:val="000000"/>
          <w:position w:val="0"/>
        </w:rPr>
        <w:t>w SEW-3 w zakresie decyzji orzeczenia odpowiedzialności - 5 spraw oraz pisma ws upadłości - 5 spraw.</w:t>
      </w:r>
    </w:p>
    <w:p>
      <w:pPr>
        <w:pStyle w:val="Style16"/>
        <w:numPr>
          <w:ilvl w:val="0"/>
          <w:numId w:val="9"/>
        </w:numPr>
        <w:tabs>
          <w:tab w:leader="none" w:pos="1119" w:val="left"/>
        </w:tabs>
        <w:widowControl w:val="0"/>
        <w:keepNext w:val="0"/>
        <w:keepLines w:val="0"/>
        <w:shd w:val="clear" w:color="auto" w:fill="auto"/>
        <w:bidi w:val="0"/>
        <w:jc w:val="both"/>
        <w:spacing w:before="0" w:after="0" w:line="278" w:lineRule="exact"/>
        <w:ind w:left="1040" w:right="380" w:hanging="340"/>
      </w:pPr>
      <w:r>
        <w:rPr>
          <w:lang w:val="pl-PL" w:eastAsia="pl-PL" w:bidi="pl-PL"/>
          <w:sz w:val="24"/>
          <w:szCs w:val="24"/>
          <w:w w:val="100"/>
          <w:spacing w:val="0"/>
          <w:color w:val="000000"/>
          <w:position w:val="0"/>
        </w:rPr>
        <w:t>Prowadzenie postępowań w sprawach ulg w spłacie zobowiązań i innych ulg przewidzianych przepisami prawa w SEW-2 - 5 decyzji.</w:t>
      </w:r>
    </w:p>
    <w:p>
      <w:pPr>
        <w:pStyle w:val="Style16"/>
        <w:numPr>
          <w:ilvl w:val="0"/>
          <w:numId w:val="9"/>
        </w:numPr>
        <w:tabs>
          <w:tab w:leader="none" w:pos="1119" w:val="left"/>
        </w:tabs>
        <w:widowControl w:val="0"/>
        <w:keepNext w:val="0"/>
        <w:keepLines w:val="0"/>
        <w:shd w:val="clear" w:color="auto" w:fill="auto"/>
        <w:bidi w:val="0"/>
        <w:jc w:val="both"/>
        <w:spacing w:before="0" w:after="0" w:line="278" w:lineRule="exact"/>
        <w:ind w:left="1040" w:right="0" w:hanging="340"/>
      </w:pPr>
      <w:r>
        <w:rPr>
          <w:lang w:val="pl-PL" w:eastAsia="pl-PL" w:bidi="pl-PL"/>
          <w:sz w:val="24"/>
          <w:szCs w:val="24"/>
          <w:w w:val="100"/>
          <w:spacing w:val="0"/>
          <w:color w:val="000000"/>
          <w:position w:val="0"/>
        </w:rPr>
        <w:t>Wydawanie zaświadczeń w sprawach pomocy de minimis - SEW-2 - 5 zaświadczeń.</w:t>
      </w:r>
    </w:p>
    <w:p>
      <w:pPr>
        <w:pStyle w:val="Style16"/>
        <w:widowControl w:val="0"/>
        <w:keepNext w:val="0"/>
        <w:keepLines w:val="0"/>
        <w:shd w:val="clear" w:color="auto" w:fill="auto"/>
        <w:bidi w:val="0"/>
        <w:jc w:val="left"/>
        <w:spacing w:before="0" w:after="0" w:line="278" w:lineRule="exact"/>
        <w:ind w:left="340" w:right="0" w:firstLine="0"/>
      </w:pPr>
      <w:r>
        <w:rPr>
          <w:lang w:val="pl-PL" w:eastAsia="pl-PL" w:bidi="pl-PL"/>
          <w:sz w:val="24"/>
          <w:szCs w:val="24"/>
          <w:w w:val="100"/>
          <w:spacing w:val="0"/>
          <w:color w:val="000000"/>
          <w:position w:val="0"/>
        </w:rPr>
        <w:t>W powyższych kontrolach nie stwierdzono nieprawidłowości.</w:t>
      </w:r>
    </w:p>
    <w:p>
      <w:pPr>
        <w:pStyle w:val="Style16"/>
        <w:widowControl w:val="0"/>
        <w:keepNext w:val="0"/>
        <w:keepLines w:val="0"/>
        <w:shd w:val="clear" w:color="auto" w:fill="auto"/>
        <w:bidi w:val="0"/>
        <w:jc w:val="both"/>
        <w:spacing w:before="0" w:after="286" w:line="298" w:lineRule="exact"/>
        <w:ind w:left="340" w:right="380" w:firstLine="0"/>
      </w:pPr>
      <w:r>
        <w:rPr>
          <w:lang w:val="pl-PL" w:eastAsia="pl-PL" w:bidi="pl-PL"/>
          <w:sz w:val="24"/>
          <w:szCs w:val="24"/>
          <w:w w:val="100"/>
          <w:spacing w:val="0"/>
          <w:color w:val="000000"/>
          <w:position w:val="0"/>
        </w:rPr>
        <w:t xml:space="preserve">Z-ca Naczelnika sporządził </w:t>
      </w:r>
      <w:r>
        <w:rPr>
          <w:rStyle w:val="CharStyle18"/>
        </w:rPr>
        <w:t>Informacje o przeprowadzonej kontroli funkcjonalnej</w:t>
      </w:r>
      <w:r>
        <w:rPr>
          <w:lang w:val="pl-PL" w:eastAsia="pl-PL" w:bidi="pl-PL"/>
          <w:sz w:val="24"/>
          <w:szCs w:val="24"/>
          <w:w w:val="100"/>
          <w:spacing w:val="0"/>
          <w:color w:val="000000"/>
          <w:position w:val="0"/>
        </w:rPr>
        <w:t xml:space="preserve"> zgodnie z obowiązującymi wzorami.</w:t>
      </w:r>
    </w:p>
    <w:p>
      <w:pPr>
        <w:pStyle w:val="Style16"/>
        <w:widowControl w:val="0"/>
        <w:keepNext w:val="0"/>
        <w:keepLines w:val="0"/>
        <w:shd w:val="clear" w:color="auto" w:fill="auto"/>
        <w:bidi w:val="0"/>
        <w:jc w:val="both"/>
        <w:spacing w:before="0" w:after="0" w:line="240" w:lineRule="exact"/>
        <w:ind w:left="340" w:right="0" w:firstLine="0"/>
        <w:sectPr>
          <w:type w:val="continuous"/>
          <w:pgSz w:w="12161" w:h="16838"/>
          <w:pgMar w:top="1358" w:left="1258" w:right="780" w:bottom="1175" w:header="0" w:footer="3" w:gutter="0"/>
          <w:rtlGutter w:val="0"/>
          <w:cols w:space="720"/>
          <w:noEndnote/>
          <w:docGrid w:linePitch="360"/>
        </w:sectPr>
      </w:pPr>
      <w:r>
        <w:rPr>
          <w:lang w:val="pl-PL" w:eastAsia="pl-PL" w:bidi="pl-PL"/>
          <w:sz w:val="24"/>
          <w:szCs w:val="24"/>
          <w:w w:val="100"/>
          <w:spacing w:val="0"/>
          <w:color w:val="000000"/>
          <w:position w:val="0"/>
        </w:rPr>
        <w:t xml:space="preserve">Ponadto na podstawie załącznika nr 1 do Wytycznych Naczelnika US, kontrolę funkcjonalną </w:t>
      </w:r>
    </w:p>
    <w:p>
      <w:pPr>
        <w:pStyle w:val="Style16"/>
        <w:widowControl w:val="0"/>
        <w:keepNext w:val="0"/>
        <w:keepLines w:val="0"/>
        <w:shd w:val="clear" w:color="auto" w:fill="auto"/>
        <w:bidi w:val="0"/>
        <w:jc w:val="both"/>
        <w:spacing w:before="0" w:after="0" w:line="240" w:lineRule="exact"/>
        <w:ind w:left="340" w:right="0" w:firstLine="0"/>
      </w:pPr>
      <w:r>
        <w:rPr>
          <w:lang w:val="pl-PL" w:eastAsia="pl-PL" w:bidi="pl-PL"/>
          <w:sz w:val="24"/>
          <w:szCs w:val="24"/>
          <w:w w:val="100"/>
          <w:spacing w:val="0"/>
          <w:color w:val="000000"/>
          <w:position w:val="0"/>
        </w:rPr>
        <w:t>przeprowadził również Kierownik Drugiego Referatu Spraw Wierzycielskich w zakresie terminowości i kompletności wprowadzania i zatwierdzania danych do użytkowanych programów komputerowych. Przeprowadzona kontrola dotyczyła 5 spraw, a ustalenia zawarto na właściwym wzorze dokumentu. Nieprawidłowości nie stwierdzono.</w:t>
      </w:r>
    </w:p>
    <w:p>
      <w:pPr>
        <w:pStyle w:val="Style16"/>
        <w:widowControl w:val="0"/>
        <w:keepNext w:val="0"/>
        <w:keepLines w:val="0"/>
        <w:shd w:val="clear" w:color="auto" w:fill="auto"/>
        <w:bidi w:val="0"/>
        <w:jc w:val="both"/>
        <w:spacing w:before="0" w:after="228" w:line="240" w:lineRule="exact"/>
        <w:ind w:left="420" w:right="0" w:firstLine="0"/>
      </w:pPr>
      <w:r>
        <w:rPr>
          <w:lang w:val="pl-PL" w:eastAsia="pl-PL" w:bidi="pl-PL"/>
          <w:sz w:val="24"/>
          <w:szCs w:val="24"/>
          <w:w w:val="100"/>
          <w:spacing w:val="0"/>
          <w:color w:val="000000"/>
          <w:position w:val="0"/>
        </w:rPr>
        <w:t>Nieprawidłowości w zakresie organizacji pracy Urzędu nie stwierdzono.</w:t>
      </w:r>
    </w:p>
    <w:p>
      <w:pPr>
        <w:pStyle w:val="Style19"/>
        <w:numPr>
          <w:ilvl w:val="0"/>
          <w:numId w:val="1"/>
        </w:numPr>
        <w:tabs>
          <w:tab w:leader="none" w:pos="785" w:val="left"/>
        </w:tabs>
        <w:widowControl w:val="0"/>
        <w:keepNext/>
        <w:keepLines/>
        <w:shd w:val="clear" w:color="auto" w:fill="auto"/>
        <w:bidi w:val="0"/>
        <w:jc w:val="both"/>
        <w:spacing w:before="0" w:after="206" w:line="240" w:lineRule="exact"/>
        <w:ind w:left="420" w:right="0" w:firstLine="0"/>
      </w:pPr>
      <w:bookmarkStart w:id="1" w:name="bookmark1"/>
      <w:r>
        <w:rPr>
          <w:lang w:val="pl-PL" w:eastAsia="pl-PL" w:bidi="pl-PL"/>
          <w:sz w:val="24"/>
          <w:szCs w:val="24"/>
          <w:w w:val="100"/>
          <w:spacing w:val="0"/>
          <w:color w:val="000000"/>
          <w:position w:val="0"/>
        </w:rPr>
        <w:t>Podejmowanie działań zmierzających do wystąpienia z wnioskiem o ogłoszenie upadłości</w:t>
      </w:r>
      <w:bookmarkEnd w:id="1"/>
    </w:p>
    <w:p>
      <w:pPr>
        <w:pStyle w:val="Style16"/>
        <w:widowControl w:val="0"/>
        <w:keepNext w:val="0"/>
        <w:keepLines w:val="0"/>
        <w:shd w:val="clear" w:color="auto" w:fill="auto"/>
        <w:bidi w:val="0"/>
        <w:jc w:val="both"/>
        <w:spacing w:before="0" w:after="0" w:line="274" w:lineRule="exact"/>
        <w:ind w:left="420" w:right="0" w:firstLine="280"/>
      </w:pPr>
      <w:r>
        <w:rPr>
          <w:lang w:val="pl-PL" w:eastAsia="pl-PL" w:bidi="pl-PL"/>
          <w:sz w:val="24"/>
          <w:szCs w:val="24"/>
          <w:w w:val="100"/>
          <w:spacing w:val="0"/>
          <w:color w:val="000000"/>
          <w:position w:val="0"/>
        </w:rPr>
        <w:t>W 2018 r. Naczelnik Urzędu Skarbowego w Gorzowie Wlkp. nie składał wniosków o ogłoszenie upadłości. Z przedłożonego do kontroli zestawienia wynika, że ostatnie wnioski składane były w 2014 i w 2015 r. Spośród 5 złożonych wniosków - 3 zostały oddalone z powodu braku majątku wystarczającego na zaspokojenie kosztów postępowania upadłościowego. Postanowienia o ogłoszeniu upadłości zostały wydane w odniesieniu do wniosków z dnia 19 maja 2014 r. oraz z dnia 11 września 2014 r., którymi Naczelnik US w Gorzowie Wlkp. jedynie przyłączył się do wniosków innych wierzycieli.</w:t>
      </w:r>
    </w:p>
    <w:p>
      <w:pPr>
        <w:pStyle w:val="Style16"/>
        <w:widowControl w:val="0"/>
        <w:keepNext w:val="0"/>
        <w:keepLines w:val="0"/>
        <w:shd w:val="clear" w:color="auto" w:fill="auto"/>
        <w:bidi w:val="0"/>
        <w:jc w:val="both"/>
        <w:spacing w:before="0" w:after="0" w:line="274" w:lineRule="exact"/>
        <w:ind w:left="420" w:right="0" w:firstLine="0"/>
      </w:pPr>
      <w:r>
        <w:rPr>
          <w:lang w:val="pl-PL" w:eastAsia="pl-PL" w:bidi="pl-PL"/>
          <w:sz w:val="24"/>
          <w:szCs w:val="24"/>
          <w:w w:val="100"/>
          <w:spacing w:val="0"/>
          <w:color w:val="000000"/>
          <w:position w:val="0"/>
        </w:rPr>
        <w:t xml:space="preserve">W Urzędzie, stosownie do postanowień pkt 8.2 </w:t>
      </w:r>
      <w:r>
        <w:rPr>
          <w:rStyle w:val="CharStyle18"/>
        </w:rPr>
        <w:t>Wytycznych nr 7/17 Naczelnika Urzędu Skarbowego w Gorzowie Wlkp. z dnia 23 maja 2017 r. w sprawie zarządzania zaległościami podatkowymi, w tym zapobiegania ich przedawnieniom</w:t>
      </w:r>
      <w:r>
        <w:rPr>
          <w:lang w:val="pl-PL" w:eastAsia="pl-PL" w:bidi="pl-PL"/>
          <w:sz w:val="24"/>
          <w:szCs w:val="24"/>
          <w:w w:val="100"/>
          <w:spacing w:val="0"/>
          <w:color w:val="000000"/>
          <w:position w:val="0"/>
        </w:rPr>
        <w:t>, po umorzeniu postępowania egzekucyjnego przeprowadzana jest analiza w zakresie m.in. zasadności złożenia wniosku o ogłoszenie upadłości. Przedłożone do kontroli notatki z dnia 16 stycznia 2018 r. nr</w:t>
      </w:r>
    </w:p>
    <w:p>
      <w:pPr>
        <w:pStyle w:val="Style16"/>
        <w:tabs>
          <w:tab w:leader="none" w:pos="5674" w:val="left"/>
          <w:tab w:leader="none" w:pos="7493" w:val="left"/>
        </w:tabs>
        <w:widowControl w:val="0"/>
        <w:keepNext w:val="0"/>
        <w:keepLines w:val="0"/>
        <w:shd w:val="clear" w:color="auto" w:fill="auto"/>
        <w:bidi w:val="0"/>
        <w:jc w:val="both"/>
        <w:spacing w:before="0" w:after="0" w:line="274" w:lineRule="exact"/>
        <w:ind w:left="1800" w:right="0" w:firstLine="0"/>
      </w:pPr>
      <w:r>
        <w:rPr>
          <w:lang w:val="pl-PL" w:eastAsia="pl-PL" w:bidi="pl-PL"/>
          <w:sz w:val="24"/>
          <w:szCs w:val="24"/>
          <w:w w:val="100"/>
          <w:spacing w:val="0"/>
          <w:color w:val="000000"/>
          <w:position w:val="0"/>
        </w:rPr>
        <w:t>^i z dnia 17 kwietnia 2018 r. nr-..</w:t>
        <w:tab/>
        <w:t>__</w:t>
        <w:tab/>
        <w:t>sporządzone w związku</w:t>
      </w:r>
    </w:p>
    <w:p>
      <w:pPr>
        <w:pStyle w:val="Style16"/>
        <w:widowControl w:val="0"/>
        <w:keepNext w:val="0"/>
        <w:keepLines w:val="0"/>
        <w:shd w:val="clear" w:color="auto" w:fill="auto"/>
        <w:bidi w:val="0"/>
        <w:jc w:val="both"/>
        <w:spacing w:before="0" w:after="0" w:line="274" w:lineRule="exact"/>
        <w:ind w:left="420" w:right="0" w:firstLine="0"/>
      </w:pPr>
      <w:r>
        <w:rPr>
          <w:lang w:val="pl-PL" w:eastAsia="pl-PL" w:bidi="pl-PL"/>
          <w:sz w:val="24"/>
          <w:szCs w:val="24"/>
          <w:w w:val="100"/>
          <w:spacing w:val="0"/>
          <w:color w:val="000000"/>
          <w:position w:val="0"/>
        </w:rPr>
        <w:t>z umorzeniem postępowań egzekucyjnych z powodu ich bezskuteczności, potwierdzają m.in. odstąpienie od wystąpienia z wnioskiem o ogłoszenie upadłości zobowiązanego, z uwagi na brak majątku pozwalającego na zaspokojenie kosztów postępowania upadłościowego.</w:t>
      </w:r>
    </w:p>
    <w:p>
      <w:pPr>
        <w:pStyle w:val="Style16"/>
        <w:widowControl w:val="0"/>
        <w:keepNext w:val="0"/>
        <w:keepLines w:val="0"/>
        <w:shd w:val="clear" w:color="auto" w:fill="auto"/>
        <w:bidi w:val="0"/>
        <w:jc w:val="both"/>
        <w:spacing w:before="0" w:after="240" w:line="274" w:lineRule="exact"/>
        <w:ind w:left="420" w:right="0" w:firstLine="0"/>
      </w:pPr>
      <w:r>
        <w:rPr>
          <w:lang w:val="pl-PL" w:eastAsia="pl-PL" w:bidi="pl-PL"/>
          <w:sz w:val="24"/>
          <w:szCs w:val="24"/>
          <w:w w:val="100"/>
          <w:spacing w:val="0"/>
          <w:color w:val="000000"/>
          <w:position w:val="0"/>
        </w:rPr>
        <w:t xml:space="preserve">Przy ocenie zasadności złożenia przez wierzyciela podatkowego wniosku o ogłoszenie upadłości dłużnika, należy brać pod uwagę konieczność uiszczenia opłaty od wniosku o ogłoszenie upadłości, która aktualnie wynosi 1.000 zł oraz zaliczki na wydatki, która stanowi równowartość przeciętnego miesięcznego wynagrodzenia </w:t>
      </w:r>
      <w:r>
        <w:rPr>
          <w:rStyle w:val="CharStyle18"/>
        </w:rPr>
        <w:t>w</w:t>
      </w:r>
      <w:r>
        <w:rPr>
          <w:lang w:val="pl-PL" w:eastAsia="pl-PL" w:bidi="pl-PL"/>
          <w:sz w:val="24"/>
          <w:szCs w:val="24"/>
          <w:w w:val="100"/>
          <w:spacing w:val="0"/>
          <w:color w:val="000000"/>
          <w:position w:val="0"/>
        </w:rPr>
        <w:t xml:space="preserve"> sektorze przedsiębiorstw bez wypłat nagród z zysku w trzecim kwartale roku poprzedniego, ogłoszonego przez Prezesa Głównego Urzędu Statystycznego. Z uwagi na znaczną kwotę, którą zobligowany jest uiścić wnioskujący o upadłość wierzyciel podatkowy, ocena zasadności i celowości złożenia wniosku o ogłoszenie upadłości winna zatem każdorazowo uwzględniać wtv. okoliczność. Niewątpliwie zasadność wnioskowania o ogłoszenie upadłości ma miejsce w nielicznych przypadkach, w których dłużnik posiada jeszcze majątek, z którego nie zaspokojono jednak należności wierzyciela podatkowego, a jednocześnie z punktu widzenia bezpieczeństwa obrotu gospodarczego celowe jest doprowadzenie do zakończenia działalności gospodarczej przez dany podmiot.</w:t>
      </w:r>
    </w:p>
    <w:p>
      <w:pPr>
        <w:pStyle w:val="Style16"/>
        <w:widowControl w:val="0"/>
        <w:keepNext w:val="0"/>
        <w:keepLines w:val="0"/>
        <w:shd w:val="clear" w:color="auto" w:fill="auto"/>
        <w:bidi w:val="0"/>
        <w:jc w:val="both"/>
        <w:spacing w:before="0" w:after="0" w:line="274" w:lineRule="exact"/>
        <w:ind w:left="420" w:right="0" w:firstLine="0"/>
        <w:sectPr>
          <w:footerReference w:type="even" r:id="rId13"/>
          <w:footerReference w:type="default" r:id="rId14"/>
          <w:footerReference w:type="first" r:id="rId15"/>
          <w:titlePg/>
          <w:pgSz w:w="12161" w:h="16838"/>
          <w:pgMar w:top="1358" w:left="1258" w:right="780" w:bottom="1175" w:header="0" w:footer="3" w:gutter="0"/>
          <w:rtlGutter w:val="0"/>
          <w:cols w:space="720"/>
          <w:noEndnote/>
          <w:docGrid w:linePitch="360"/>
        </w:sectPr>
      </w:pPr>
      <w:r>
        <w:rPr>
          <w:lang w:val="pl-PL" w:eastAsia="pl-PL" w:bidi="pl-PL"/>
          <w:sz w:val="24"/>
          <w:szCs w:val="24"/>
          <w:w w:val="100"/>
          <w:spacing w:val="0"/>
          <w:color w:val="000000"/>
          <w:position w:val="0"/>
        </w:rPr>
        <w:t>W statucie urzędu skarbowego, stanowiącym załącznik nr 8 do zarządzenia Ministra Rozwoju i Finansów z dnia 1 marca 2017 r. w sprawie organizacji jednostek organizacyjnych Krajowej Administracji Skarbowej oraz nadania im statutów (Dz. Urz. Min. Roz. i Fin. poz. 41 ze zm.) przewidziano, że do komórki spraw wierzycielskich należy inicjowanie i udział w postępowaniu upadłościowym, naprawczym, likwidacyjnym i restrukturyzacyjnym, w tym występowanie z wnioskiem o ogłoszenie upadłości. Jednocześnie z Wytycznych nr 7/17 Naczelnika Urzędu Skarbowego w Gorzowie Wlkp. z dnia 23 maja 2017 r. w sprawie zarządzania zaległościami podatkowymi, w tym zapobiegania ich przedawnieniom, wynika, że Trzeci Referat Spraw Wierzycielskich SEW-3 po otrzymaniu postanowienia o umorzeniu postępowania egzekucyjnego lub informacji o bezskuteczności egzekucji w części - powinien sprawdzić m. in., czy zachodzą przesłanki do wystąpienia z wnioskiem o ogłoszenie upadłości.</w:t>
      </w:r>
    </w:p>
    <w:p>
      <w:pPr>
        <w:widowControl w:val="0"/>
        <w:spacing w:line="240" w:lineRule="exact"/>
        <w:rPr>
          <w:sz w:val="19"/>
          <w:szCs w:val="19"/>
        </w:rPr>
      </w:pPr>
    </w:p>
    <w:p>
      <w:pPr>
        <w:widowControl w:val="0"/>
        <w:spacing w:line="240" w:lineRule="exact"/>
        <w:rPr>
          <w:sz w:val="19"/>
          <w:szCs w:val="19"/>
        </w:rPr>
      </w:pPr>
    </w:p>
    <w:p>
      <w:pPr>
        <w:widowControl w:val="0"/>
        <w:spacing w:line="240" w:lineRule="exact"/>
        <w:rPr>
          <w:sz w:val="19"/>
          <w:szCs w:val="19"/>
        </w:rPr>
      </w:pPr>
    </w:p>
    <w:p>
      <w:pPr>
        <w:widowControl w:val="0"/>
        <w:spacing w:line="240" w:lineRule="exact"/>
        <w:rPr>
          <w:sz w:val="19"/>
          <w:szCs w:val="19"/>
        </w:rPr>
      </w:pPr>
    </w:p>
    <w:p>
      <w:pPr>
        <w:widowControl w:val="0"/>
        <w:spacing w:line="240" w:lineRule="exact"/>
        <w:rPr>
          <w:sz w:val="19"/>
          <w:szCs w:val="19"/>
        </w:rPr>
      </w:pPr>
    </w:p>
    <w:p>
      <w:pPr>
        <w:widowControl w:val="0"/>
        <w:spacing w:before="1" w:after="1" w:line="240" w:lineRule="exact"/>
        <w:rPr>
          <w:sz w:val="19"/>
          <w:szCs w:val="19"/>
        </w:rPr>
      </w:pPr>
    </w:p>
    <w:p>
      <w:pPr>
        <w:widowControl w:val="0"/>
        <w:rPr>
          <w:sz w:val="2"/>
          <w:szCs w:val="2"/>
        </w:rPr>
        <w:sectPr>
          <w:pgSz w:w="12161" w:h="16838"/>
          <w:pgMar w:top="161" w:left="0" w:right="0" w:bottom="1311" w:header="0" w:footer="3" w:gutter="0"/>
          <w:rtlGutter w:val="0"/>
          <w:cols w:space="720"/>
          <w:noEndnote/>
          <w:docGrid w:linePitch="360"/>
        </w:sectPr>
      </w:pPr>
    </w:p>
    <w:p>
      <w:pPr>
        <w:pStyle w:val="Style16"/>
        <w:widowControl w:val="0"/>
        <w:keepNext w:val="0"/>
        <w:keepLines w:val="0"/>
        <w:shd w:val="clear" w:color="auto" w:fill="auto"/>
        <w:bidi w:val="0"/>
        <w:jc w:val="both"/>
        <w:spacing w:before="0" w:after="0" w:line="264" w:lineRule="exact"/>
        <w:ind w:left="960" w:right="0" w:firstLine="0"/>
      </w:pPr>
      <w:r>
        <w:rPr>
          <w:lang w:val="pl-PL" w:eastAsia="pl-PL" w:bidi="pl-PL"/>
          <w:sz w:val="24"/>
          <w:szCs w:val="24"/>
          <w:w w:val="100"/>
          <w:spacing w:val="0"/>
          <w:color w:val="000000"/>
          <w:position w:val="0"/>
        </w:rPr>
        <w:t>Zatem działania podejmowane przez Naczelnika US w Gorzowie Wlkp. mające na celu złożenie wniosku o ogłoszenie upadłości są zgodne z obowiązującymi w ww. zakresie procedurami wewnętrznymi.</w:t>
      </w:r>
    </w:p>
    <w:p>
      <w:pPr>
        <w:pStyle w:val="Style16"/>
        <w:widowControl w:val="0"/>
        <w:keepNext w:val="0"/>
        <w:keepLines w:val="0"/>
        <w:shd w:val="clear" w:color="auto" w:fill="auto"/>
        <w:bidi w:val="0"/>
        <w:jc w:val="both"/>
        <w:spacing w:before="0" w:after="267" w:line="274" w:lineRule="exact"/>
        <w:ind w:left="960" w:right="0" w:firstLine="0"/>
      </w:pPr>
      <w:r>
        <w:rPr>
          <w:lang w:val="pl-PL" w:eastAsia="pl-PL" w:bidi="pl-PL"/>
          <w:sz w:val="24"/>
          <w:szCs w:val="24"/>
          <w:w w:val="100"/>
          <w:spacing w:val="0"/>
          <w:color w:val="000000"/>
          <w:position w:val="0"/>
        </w:rPr>
        <w:t>W odniesieniu do powyższego, podkreślenia wymaga, że korzystanie z uprawnienia do wnioskowania o ogłoszenie upadłości dłużnika niewypłacalnego przez organ podatkowy, który posiada możliwość dochodzenia zaległości podatkowych w trybie egzekucji administracyjnej, winno z założenia podlegać ograniczeniom i znajdować zastosowanie w jednostkowych przypadkach, w których przewidywane korzyści będą adekwatne do poniesionych kosztów.</w:t>
      </w:r>
    </w:p>
    <w:p>
      <w:pPr>
        <w:pStyle w:val="Style16"/>
        <w:widowControl w:val="0"/>
        <w:keepNext w:val="0"/>
        <w:keepLines w:val="0"/>
        <w:shd w:val="clear" w:color="auto" w:fill="auto"/>
        <w:bidi w:val="0"/>
        <w:jc w:val="both"/>
        <w:spacing w:before="0" w:after="242" w:line="240" w:lineRule="exact"/>
        <w:ind w:left="0" w:right="0" w:firstLine="960"/>
      </w:pPr>
      <w:r>
        <w:rPr>
          <w:lang w:val="pl-PL" w:eastAsia="pl-PL" w:bidi="pl-PL"/>
          <w:sz w:val="24"/>
          <w:szCs w:val="24"/>
          <w:w w:val="100"/>
          <w:spacing w:val="0"/>
          <w:color w:val="000000"/>
          <w:position w:val="0"/>
        </w:rPr>
        <w:t>W kontrolowanym obszarze nie stwierdzono nieprawidłowości ani uchybień.</w:t>
      </w:r>
    </w:p>
    <w:p>
      <w:pPr>
        <w:pStyle w:val="Style19"/>
        <w:numPr>
          <w:ilvl w:val="0"/>
          <w:numId w:val="1"/>
        </w:numPr>
        <w:tabs>
          <w:tab w:leader="none" w:pos="1330" w:val="left"/>
        </w:tabs>
        <w:widowControl w:val="0"/>
        <w:keepNext/>
        <w:keepLines/>
        <w:shd w:val="clear" w:color="auto" w:fill="auto"/>
        <w:bidi w:val="0"/>
        <w:jc w:val="both"/>
        <w:spacing w:before="0" w:after="0" w:line="240" w:lineRule="exact"/>
        <w:ind w:left="0" w:right="0" w:firstLine="960"/>
      </w:pPr>
      <w:bookmarkStart w:id="3" w:name="bookmark3"/>
      <w:r>
        <w:rPr>
          <w:lang w:val="pl-PL" w:eastAsia="pl-PL" w:bidi="pl-PL"/>
          <w:sz w:val="24"/>
          <w:szCs w:val="24"/>
          <w:w w:val="100"/>
          <w:spacing w:val="0"/>
          <w:color w:val="000000"/>
          <w:position w:val="0"/>
        </w:rPr>
        <w:t>Podejmowanie działań zmierzających do wystąpienia z wnioskiem o uznanie za</w:t>
      </w:r>
      <w:bookmarkEnd w:id="3"/>
    </w:p>
    <w:p>
      <w:pPr>
        <w:pStyle w:val="Style14"/>
        <w:widowControl w:val="0"/>
        <w:keepNext w:val="0"/>
        <w:keepLines w:val="0"/>
        <w:shd w:val="clear" w:color="auto" w:fill="auto"/>
        <w:bidi w:val="0"/>
        <w:jc w:val="both"/>
        <w:spacing w:before="0" w:after="220" w:line="240" w:lineRule="exact"/>
        <w:ind w:left="960" w:right="0" w:firstLine="300"/>
      </w:pPr>
      <w:r>
        <w:rPr>
          <w:lang w:val="pl-PL" w:eastAsia="pl-PL" w:bidi="pl-PL"/>
          <w:sz w:val="24"/>
          <w:szCs w:val="24"/>
          <w:w w:val="100"/>
          <w:spacing w:val="0"/>
          <w:color w:val="000000"/>
          <w:position w:val="0"/>
        </w:rPr>
        <w:t>bezskuteczną czynności prawnej dokonanej z pokrzywdzeniem wierzyciela</w:t>
      </w:r>
    </w:p>
    <w:p>
      <w:pPr>
        <w:pStyle w:val="Style16"/>
        <w:widowControl w:val="0"/>
        <w:keepNext w:val="0"/>
        <w:keepLines w:val="0"/>
        <w:shd w:val="clear" w:color="auto" w:fill="auto"/>
        <w:bidi w:val="0"/>
        <w:jc w:val="both"/>
        <w:spacing w:before="0" w:after="0" w:line="274" w:lineRule="exact"/>
        <w:ind w:left="960" w:right="0" w:firstLine="300"/>
      </w:pPr>
      <w:r>
        <w:rPr>
          <w:lang w:val="pl-PL" w:eastAsia="pl-PL" w:bidi="pl-PL"/>
          <w:sz w:val="24"/>
          <w:szCs w:val="24"/>
          <w:w w:val="100"/>
          <w:spacing w:val="0"/>
          <w:color w:val="000000"/>
          <w:position w:val="0"/>
        </w:rPr>
        <w:t>W celu weryfikacji sposobu dokonywania przez kontrolowany Urząd analizy czynności majątkowych w kontekście przepisów prawa o ochronie roszczeń wierzyciela w razie niewypłacalności dłużnika, a także prawidłowości podejmowania decyzji o skorzystaniu bądź nie z tzw. skargi pauliańskiej, na podstawie danych z hurtowni danych WHTAX wytypowano do kontroli 9 podmiotów spośród 100 podmiotów posiadających w Urzędzie największe kwoty zaległości z odsetkami.</w:t>
      </w:r>
    </w:p>
    <w:p>
      <w:pPr>
        <w:pStyle w:val="Style16"/>
        <w:tabs>
          <w:tab w:leader="none" w:pos="4406" w:val="left"/>
        </w:tabs>
        <w:widowControl w:val="0"/>
        <w:keepNext w:val="0"/>
        <w:keepLines w:val="0"/>
        <w:shd w:val="clear" w:color="auto" w:fill="auto"/>
        <w:bidi w:val="0"/>
        <w:jc w:val="both"/>
        <w:spacing w:before="0" w:after="0" w:line="274" w:lineRule="exact"/>
        <w:ind w:left="960" w:right="0" w:firstLine="0"/>
      </w:pPr>
      <w:r>
        <w:rPr>
          <w:lang w:val="pl-PL" w:eastAsia="pl-PL" w:bidi="pl-PL"/>
          <w:sz w:val="24"/>
          <w:szCs w:val="24"/>
          <w:w w:val="100"/>
          <w:spacing w:val="0"/>
          <w:color w:val="000000"/>
          <w:position w:val="0"/>
        </w:rPr>
        <w:t>W wyniku analizy wydruków z aplikacji e-ORUS „Otwarte niestandardowe Raporty US POLTAX (CZM)” dot. kontrolowanych podmiotów stwierdzono jeden przypadek wyzbycia się majątku przez zobowiązanego. Podatnik posiadający zaległości wynikające z prowadzonej działalności gospodarczej w podatku dochodowym od osób fizycznych za lata 2005-2007 w łącznej kwocie należności głównych ,</w:t>
        <w:tab/>
        <w:t>/zł oraz w podatku od towarów i usług dotyczące okresów</w:t>
      </w:r>
    </w:p>
    <w:p>
      <w:pPr>
        <w:pStyle w:val="Style16"/>
        <w:tabs>
          <w:tab w:leader="none" w:pos="9374" w:val="left"/>
        </w:tabs>
        <w:widowControl w:val="0"/>
        <w:keepNext w:val="0"/>
        <w:keepLines w:val="0"/>
        <w:shd w:val="clear" w:color="auto" w:fill="auto"/>
        <w:bidi w:val="0"/>
        <w:jc w:val="both"/>
        <w:spacing w:before="0" w:after="0" w:line="274" w:lineRule="exact"/>
        <w:ind w:left="0" w:right="0" w:firstLine="960"/>
      </w:pPr>
      <w:r>
        <w:rPr>
          <w:lang w:val="pl-PL" w:eastAsia="pl-PL" w:bidi="pl-PL"/>
          <w:sz w:val="24"/>
          <w:szCs w:val="24"/>
          <w:w w:val="100"/>
          <w:spacing w:val="0"/>
          <w:color w:val="000000"/>
          <w:position w:val="0"/>
        </w:rPr>
        <w:t>rozliczeniowych od 2005-2007 r. w łącznej kwocie należności głównych</w:t>
        <w:tab/>
        <w:t>zł, w dniu</w:t>
      </w:r>
    </w:p>
    <w:p>
      <w:pPr>
        <w:pStyle w:val="Style16"/>
        <w:tabs>
          <w:tab w:leader="none" w:pos="2294" w:val="left"/>
        </w:tabs>
        <w:widowControl w:val="0"/>
        <w:keepNext w:val="0"/>
        <w:keepLines w:val="0"/>
        <w:shd w:val="clear" w:color="auto" w:fill="auto"/>
        <w:bidi w:val="0"/>
        <w:jc w:val="both"/>
        <w:spacing w:before="0" w:after="0" w:line="274" w:lineRule="exact"/>
        <w:ind w:left="0" w:right="0" w:firstLine="960"/>
      </w:pPr>
      <w:r>
        <w:rPr>
          <w:lang w:val="pl-PL" w:eastAsia="pl-PL" w:bidi="pl-PL"/>
          <w:sz w:val="24"/>
          <w:szCs w:val="24"/>
          <w:w w:val="100"/>
          <w:spacing w:val="0"/>
          <w:color w:val="000000"/>
          <w:position w:val="0"/>
        </w:rPr>
        <w:t>__</w:t>
        <w:tab/>
        <w:t>zbył prawo do lokalu mieszkalnego za kwotęf</w:t>
      </w:r>
    </w:p>
    <w:p>
      <w:pPr>
        <w:pStyle w:val="Style16"/>
        <w:widowControl w:val="0"/>
        <w:keepNext w:val="0"/>
        <w:keepLines w:val="0"/>
        <w:shd w:val="clear" w:color="auto" w:fill="auto"/>
        <w:bidi w:val="0"/>
        <w:jc w:val="both"/>
        <w:spacing w:before="0" w:after="0" w:line="274" w:lineRule="exact"/>
        <w:ind w:left="960" w:right="0" w:firstLine="0"/>
      </w:pPr>
      <w:r>
        <w:rPr>
          <w:lang w:val="pl-PL" w:eastAsia="pl-PL" w:bidi="pl-PL"/>
          <w:sz w:val="24"/>
          <w:szCs w:val="24"/>
          <w:w w:val="100"/>
          <w:spacing w:val="0"/>
          <w:color w:val="000000"/>
          <w:position w:val="0"/>
        </w:rPr>
        <w:t>Powyższe zbycie wymagało przeprowadzenia analizy dotyczącej pokrzywdzenia wierzyciela podatkowego - Naczelnika Urzędu Skarbowego w Gorzowie Wlkp., bowiem jak wynika z danych systemowych według stanu na dzień 31.12.2018 r., ww. zaległości nie zostały zaspokojone.</w:t>
      </w:r>
    </w:p>
    <w:p>
      <w:pPr>
        <w:pStyle w:val="Style16"/>
        <w:widowControl w:val="0"/>
        <w:keepNext w:val="0"/>
        <w:keepLines w:val="0"/>
        <w:shd w:val="clear" w:color="auto" w:fill="auto"/>
        <w:bidi w:val="0"/>
        <w:jc w:val="both"/>
        <w:spacing w:before="0" w:after="0" w:line="274" w:lineRule="exact"/>
        <w:ind w:left="0" w:right="0" w:firstLine="960"/>
        <w:sectPr>
          <w:type w:val="continuous"/>
          <w:pgSz w:w="12161" w:h="16838"/>
          <w:pgMar w:top="161" w:left="1391" w:right="268" w:bottom="1311" w:header="0" w:footer="3" w:gutter="0"/>
          <w:rtlGutter w:val="0"/>
          <w:cols w:space="720"/>
          <w:noEndnote/>
          <w:docGrid w:linePitch="360"/>
        </w:sectPr>
      </w:pPr>
      <w:r>
        <w:rPr>
          <w:lang w:val="pl-PL" w:eastAsia="pl-PL" w:bidi="pl-PL"/>
          <w:sz w:val="24"/>
          <w:szCs w:val="24"/>
          <w:w w:val="100"/>
          <w:spacing w:val="0"/>
          <w:color w:val="000000"/>
          <w:position w:val="0"/>
        </w:rPr>
        <w:t>Z przedstawionych do kontroli dokumentów wynika, że Drugi Referat Spraw Wierzycielskich w związku z informacją otrzymaną z Działu Egzekucji Administracyjnej zgromadził materiał ^ dowodowy w celu wystąpienia do sądu powszechnego z powództwem o uznanie dokonanej przez podatnika sprzedaży, za czynność prawną bezskuteczną w stosunku do wierzyciela podatkowego. Pismem z dnia 09.09.2016 r. Referat skierował do Oddziału Obsługi Prawnej wniosek o wydanie opinii prawnej odnośnie przesłanek uzasadniających wystąpienie do sądu z powództwem na podstawie art. 527 kodeksu cywilnego. Z wydanej w ww. sprawie opinii prawnej z dnia 07.10.2016 r. wskazano, że brak jest przesłanek do wystąpienia z powództwem o uznanie czynności prawnej dłużnika za bezskuteczną w' stosunku do Naczelnika Urzędu Skarbowego w Gorzowie Wlkp. z tego względu, że zbycie miało charakter odpłatny, a ze stanu sprawy nie wynikało, że nabywca mógł wiedzieć, że zbywca dokonuje czynności prawnej z pokrzywdzeniem wierzyciela. W opinii wskazano jednak na przesłanki złożenia zawiadomienia o podejrzeniu popełnienia przestępstwa określonego w art. 300 § 2 Kodeksu karnego. W związku z tym Naczelnik Urzędu Skarbowego w Gorzowie Wlkp. skierował do Prokuratury Rejonowej w Gorzowie Wlkp. zawiadomienie o podejrzeniu popełnienia przez ww. podatnika przestępstwa określonego w art. 300 § 2 kodeksu karnego (udaremnienie zaspokojenia wierzyciela przez zbycie nieruchomości). Wobec umorzenia dochodzenia w ww. sprawie, Naczelnik Urzędu Skarbowego w Gorzowie Wlkp. wniósł zażalenie do Sądu Rejonowego w Gorzowie Wlkp. Sąd utrzymał w</w:t>
      </w:r>
    </w:p>
    <w:p>
      <w:pPr>
        <w:framePr w:h="850" w:wrap="notBeside" w:vAnchor="text" w:hAnchor="text" w:xAlign="right" w:y="1"/>
        <w:widowControl w:val="0"/>
        <w:jc w:val="right"/>
        <w:rPr>
          <w:sz w:val="2"/>
          <w:szCs w:val="2"/>
        </w:rPr>
      </w:pPr>
      <w:r>
        <w:pict>
          <v:shape id="_x0000_s1036" type="#_x0000_t75" style="width:63pt;height:43pt;">
            <v:imagedata r:id="rId16" r:href="rId17"/>
          </v:shape>
        </w:pict>
      </w:r>
    </w:p>
    <w:p>
      <w:pPr>
        <w:widowControl w:val="0"/>
        <w:rPr>
          <w:sz w:val="2"/>
          <w:szCs w:val="2"/>
        </w:rPr>
      </w:pPr>
    </w:p>
    <w:p>
      <w:pPr>
        <w:pStyle w:val="Style16"/>
        <w:widowControl w:val="0"/>
        <w:keepNext w:val="0"/>
        <w:keepLines w:val="0"/>
        <w:shd w:val="clear" w:color="auto" w:fill="auto"/>
        <w:bidi w:val="0"/>
        <w:jc w:val="both"/>
        <w:spacing w:before="379" w:after="180" w:line="274" w:lineRule="exact"/>
        <w:ind w:left="600" w:right="440" w:firstLine="0"/>
      </w:pPr>
      <w:r>
        <w:rPr>
          <w:lang w:val="pl-PL" w:eastAsia="pl-PL" w:bidi="pl-PL"/>
          <w:sz w:val="24"/>
          <w:szCs w:val="24"/>
          <w:w w:val="100"/>
          <w:spacing w:val="0"/>
          <w:color w:val="000000"/>
          <w:position w:val="0"/>
        </w:rPr>
        <w:t>mocy ww. postanowienie uznając, że działaniom dłużnika nie można przypisać zamiaru bezpośredniego kierunkowego polegającego na działaniu w celu udaremnienia zaspokojenia wierzyciela podatkowego.</w:t>
      </w:r>
    </w:p>
    <w:p>
      <w:pPr>
        <w:pStyle w:val="Style16"/>
        <w:widowControl w:val="0"/>
        <w:keepNext w:val="0"/>
        <w:keepLines w:val="0"/>
        <w:shd w:val="clear" w:color="auto" w:fill="auto"/>
        <w:bidi w:val="0"/>
        <w:jc w:val="both"/>
        <w:spacing w:before="0" w:after="0" w:line="274" w:lineRule="exact"/>
        <w:ind w:left="600" w:right="440" w:firstLine="0"/>
      </w:pPr>
      <w:r>
        <w:rPr>
          <w:lang w:val="pl-PL" w:eastAsia="pl-PL" w:bidi="pl-PL"/>
          <w:sz w:val="24"/>
          <w:szCs w:val="24"/>
          <w:w w:val="100"/>
          <w:spacing w:val="0"/>
          <w:color w:val="000000"/>
          <w:position w:val="0"/>
        </w:rPr>
        <w:t>Z wyjaśnień Kierownika Drugiego Referatu Spraw Wierzycielskich w Urzędzie Skarbowym w Gorzowie Wlkp. wynika, że w celu wyeliminow'ania przypadków' pokrzywdzenia wierzyciela podatkowego wskutek czynności prawnych podejmowanych przez podatników, w Urzędzie ustalona została praktyka postępowania, w ramach której, w przypadku powzięcia informacji o wyzbywaniu się przez dłużników majątku, określone komórki organizacyjne zobligowane są niezwłocznie przekazać tę informację Referatowi SEW-2. Zgodnie z Wytycznymi nr 7/17 Naczelnika Urzędu Skarbowego w Gorzowie Wlkp., w trakcie prowadzonego postępowania egzekucyjnego obowiązek taki ciąży na pracowniku Działu Egzekucji Administracyjnej (SEE). Podobna praktyka stosowana jest w Urzędzie w przypadku Pierwszego i Trzeciego Referatu Spraw Wierzycielskich, pomimo iż nie wynika to z Wytycznych.</w:t>
      </w:r>
    </w:p>
    <w:p>
      <w:pPr>
        <w:pStyle w:val="Style16"/>
        <w:widowControl w:val="0"/>
        <w:keepNext w:val="0"/>
        <w:keepLines w:val="0"/>
        <w:shd w:val="clear" w:color="auto" w:fill="auto"/>
        <w:bidi w:val="0"/>
        <w:jc w:val="both"/>
        <w:spacing w:before="0" w:after="0" w:line="274" w:lineRule="exact"/>
        <w:ind w:left="600" w:right="440" w:firstLine="0"/>
      </w:pPr>
      <w:r>
        <w:rPr>
          <w:lang w:val="pl-PL" w:eastAsia="pl-PL" w:bidi="pl-PL"/>
          <w:sz w:val="24"/>
          <w:szCs w:val="24"/>
          <w:w w:val="100"/>
          <w:spacing w:val="0"/>
          <w:color w:val="000000"/>
          <w:position w:val="0"/>
        </w:rPr>
        <w:t>Po otrzymaniu informacji o wyzbyciu się majątku, pracownik Drugiego Referatu Spraw Wierzycielskich przystępuje do analizy dokumentów w celu ustalenia, czy zachodzą przesłanki do występowania z wnioskiem o uznanie za bezskuteczną czynności prawnej zobowiązanego dokonanej z pokrzywdzeniem wierzyciela. Po dokonaniu analizy zgromadzonych dokumentów, Drugi Referat Spraw Wierzycielskich sporządza opis sprawy, którą przekazuje następnie wraz z aktami do komórki radców prawnych, celem wydania opinii prawnej w zakresie istnienia przesłanek do wystąpienia z wnioskiem o uznanie za bezskuteczną czynności prawnej zobowiązanego.</w:t>
      </w:r>
    </w:p>
    <w:p>
      <w:pPr>
        <w:pStyle w:val="Style16"/>
        <w:widowControl w:val="0"/>
        <w:keepNext w:val="0"/>
        <w:keepLines w:val="0"/>
        <w:shd w:val="clear" w:color="auto" w:fill="auto"/>
        <w:bidi w:val="0"/>
        <w:jc w:val="both"/>
        <w:spacing w:before="0" w:after="0" w:line="274" w:lineRule="exact"/>
        <w:ind w:left="600" w:right="440" w:firstLine="0"/>
      </w:pPr>
      <w:r>
        <w:rPr>
          <w:lang w:val="pl-PL" w:eastAsia="pl-PL" w:bidi="pl-PL"/>
          <w:sz w:val="24"/>
          <w:szCs w:val="24"/>
          <w:w w:val="100"/>
          <w:spacing w:val="0"/>
          <w:color w:val="000000"/>
          <w:position w:val="0"/>
        </w:rPr>
        <w:t>Następnie po otrzymaniu opinii prawnej w zakresie przesłanek do wytoczenia powództwa na podstawie art. 527 kodeksu cywilnego - SEW-2 sporządza notatkę, w której dokonuje oceny pod względem celowości i racjonalności występowania z wnioskiem o uznanie za bezskuteczną czynności prawnej dokonanej z pokrzywdzeniem wierzyciela, uwzględniając konieczność poniesienia kosztów sądowych, wielkość udziału w nieruchomości i możliwość uzyskania zaspokojenia ze sprzedanej nieruchomości ze względu na istniejące obciążenia na rzecz innych wierzycieli. Całość przekazuje do Naczelnika Urzędu Skarbowego, celem wskazania sposobu dalszego postępowania.</w:t>
      </w:r>
    </w:p>
    <w:p>
      <w:pPr>
        <w:pStyle w:val="Style16"/>
        <w:widowControl w:val="0"/>
        <w:keepNext w:val="0"/>
        <w:keepLines w:val="0"/>
        <w:shd w:val="clear" w:color="auto" w:fill="auto"/>
        <w:bidi w:val="0"/>
        <w:jc w:val="both"/>
        <w:spacing w:before="0" w:after="60" w:line="274" w:lineRule="exact"/>
        <w:ind w:left="600" w:right="440" w:firstLine="0"/>
      </w:pPr>
      <w:r>
        <w:rPr>
          <w:lang w:val="pl-PL" w:eastAsia="pl-PL" w:bidi="pl-PL"/>
          <w:sz w:val="24"/>
          <w:szCs w:val="24"/>
          <w:w w:val="100"/>
          <w:spacing w:val="0"/>
          <w:color w:val="000000"/>
          <w:position w:val="0"/>
        </w:rPr>
        <w:t>Występując z wnioskiem o uznanie czynności prawnej dokonanej z pokrzywdzeniem wierzycieli za bezskuteczną, Naczelnik Urzędu kieruje się między innymi wytycznymi w zakresie współpracy wierzycieli publicznoprawnych z Prokuratorią Generalną Rzeczypospolitej Polskiej, w zakresie korzystania z zastępstwa procesowego Skarbu Państwa.</w:t>
      </w:r>
    </w:p>
    <w:p>
      <w:pPr>
        <w:pStyle w:val="Style16"/>
        <w:widowControl w:val="0"/>
        <w:keepNext w:val="0"/>
        <w:keepLines w:val="0"/>
        <w:shd w:val="clear" w:color="auto" w:fill="auto"/>
        <w:bidi w:val="0"/>
        <w:jc w:val="both"/>
        <w:spacing w:before="0" w:after="0" w:line="274" w:lineRule="exact"/>
        <w:ind w:left="600" w:right="440" w:firstLine="0"/>
      </w:pPr>
      <w:r>
        <w:rPr>
          <w:lang w:val="pl-PL" w:eastAsia="pl-PL" w:bidi="pl-PL"/>
          <w:sz w:val="24"/>
          <w:szCs w:val="24"/>
          <w:w w:val="100"/>
          <w:spacing w:val="0"/>
          <w:color w:val="000000"/>
          <w:position w:val="0"/>
        </w:rPr>
        <w:t>Zatem należy uznać, że podejmowane w ww. zakresie działania Urzędu są prawidłowe i zgodne z obowiązującymi w tym zakresie uregulowaniami wewnętrznymi oraz prze*pisami prawa powszechnie obowiązującego.</w:t>
      </w:r>
    </w:p>
    <w:p>
      <w:pPr>
        <w:pStyle w:val="Style16"/>
        <w:widowControl w:val="0"/>
        <w:keepNext w:val="0"/>
        <w:keepLines w:val="0"/>
        <w:shd w:val="clear" w:color="auto" w:fill="auto"/>
        <w:bidi w:val="0"/>
        <w:jc w:val="both"/>
        <w:spacing w:before="0" w:after="173" w:line="274" w:lineRule="exact"/>
        <w:ind w:left="900" w:right="0" w:hanging="300"/>
      </w:pPr>
      <w:r>
        <w:rPr>
          <w:lang w:val="pl-PL" w:eastAsia="pl-PL" w:bidi="pl-PL"/>
          <w:sz w:val="24"/>
          <w:szCs w:val="24"/>
          <w:w w:val="100"/>
          <w:spacing w:val="0"/>
          <w:color w:val="000000"/>
          <w:position w:val="0"/>
        </w:rPr>
        <w:t>W kontrolowanym obszarze nie stwierdzono nieprawidłowości ani uchybień.</w:t>
      </w:r>
    </w:p>
    <w:p>
      <w:pPr>
        <w:pStyle w:val="Style14"/>
        <w:numPr>
          <w:ilvl w:val="0"/>
          <w:numId w:val="1"/>
        </w:numPr>
        <w:tabs>
          <w:tab w:leader="none" w:pos="903" w:val="left"/>
        </w:tabs>
        <w:widowControl w:val="0"/>
        <w:keepNext w:val="0"/>
        <w:keepLines w:val="0"/>
        <w:shd w:val="clear" w:color="auto" w:fill="auto"/>
        <w:bidi w:val="0"/>
        <w:jc w:val="both"/>
        <w:spacing w:before="0" w:after="0" w:line="283" w:lineRule="exact"/>
        <w:ind w:left="900" w:right="440" w:hanging="300"/>
      </w:pPr>
      <w:r>
        <w:rPr>
          <w:lang w:val="pl-PL" w:eastAsia="pl-PL" w:bidi="pl-PL"/>
          <w:sz w:val="24"/>
          <w:szCs w:val="24"/>
          <w:w w:val="100"/>
          <w:spacing w:val="0"/>
          <w:color w:val="000000"/>
          <w:position w:val="0"/>
        </w:rPr>
        <w:t>Podejmowanie działań zmierzających do wystąpienia z wnioskiem o orzeczenie zakazu prowadzenia działalności gospodarczej na podstawie art. 373 łub 374 ustawy Prawo upadłościowe</w:t>
      </w:r>
    </w:p>
    <w:p>
      <w:pPr>
        <w:pStyle w:val="Style16"/>
        <w:widowControl w:val="0"/>
        <w:keepNext w:val="0"/>
        <w:keepLines w:val="0"/>
        <w:shd w:val="clear" w:color="auto" w:fill="auto"/>
        <w:bidi w:val="0"/>
        <w:jc w:val="left"/>
        <w:spacing w:before="0" w:after="0" w:line="274" w:lineRule="exact"/>
        <w:ind w:left="600" w:right="0" w:firstLine="300"/>
      </w:pPr>
      <w:r>
        <w:rPr>
          <w:lang w:val="pl-PL" w:eastAsia="pl-PL" w:bidi="pl-PL"/>
          <w:sz w:val="24"/>
          <w:szCs w:val="24"/>
          <w:w w:val="100"/>
          <w:spacing w:val="0"/>
          <w:color w:val="000000"/>
          <w:position w:val="0"/>
        </w:rPr>
        <w:t>W toku kontroli dokonano również oceny sposobu podejmowania działań przez Urząd w zakresie wystąpienia z wnioskiem o orzeczenie zakazu prowadzenia działalności gospodarczej. Na podstawie raportów sporządzonych z hurtowni danych WHTAX za okresy 01-12/2017 oraz 01-06/2018 wytypowano do kontroli 8 podatników prowadzących działalność gospodarczą. Spośród ww. podatników posiadających zaległości, tylko w jednym przypadku wystąpiono o orzeczenie zakazu prowadzenia działalności gospodarczej. Orzeczony w dniu 13.10.2015 r.</w:t>
      </w:r>
    </w:p>
    <w:p>
      <w:pPr>
        <w:pStyle w:val="Style16"/>
        <w:tabs>
          <w:tab w:leader="none" w:pos="5858" w:val="left"/>
        </w:tabs>
        <w:widowControl w:val="0"/>
        <w:keepNext w:val="0"/>
        <w:keepLines w:val="0"/>
        <w:shd w:val="clear" w:color="auto" w:fill="auto"/>
        <w:bidi w:val="0"/>
        <w:jc w:val="both"/>
        <w:spacing w:before="0" w:after="0" w:line="274" w:lineRule="exact"/>
        <w:ind w:left="180" w:right="840" w:firstLine="0"/>
      </w:pPr>
      <w:r>
        <w:rPr>
          <w:lang w:val="pl-PL" w:eastAsia="pl-PL" w:bidi="pl-PL"/>
          <w:sz w:val="24"/>
          <w:szCs w:val="24"/>
          <w:w w:val="100"/>
          <w:spacing w:val="0"/>
          <w:color w:val="000000"/>
          <w:position w:val="0"/>
        </w:rPr>
        <w:t>zakaz na okres 5 lat, prawomocny od dnia 04.11.2015 r. dotyczył podatnika, który posiadał zaległości z okresu 2012-2013 w kwocie</w:t>
        <w:tab/>
        <w:t>zł. W pozostałych przypadkach nie</w:t>
      </w:r>
    </w:p>
    <w:p>
      <w:pPr>
        <w:pStyle w:val="Style16"/>
        <w:widowControl w:val="0"/>
        <w:keepNext w:val="0"/>
        <w:keepLines w:val="0"/>
        <w:shd w:val="clear" w:color="auto" w:fill="auto"/>
        <w:bidi w:val="0"/>
        <w:jc w:val="both"/>
        <w:spacing w:before="0" w:after="180" w:line="274" w:lineRule="exact"/>
        <w:ind w:left="180" w:right="0" w:firstLine="0"/>
      </w:pPr>
      <w:r>
        <w:rPr>
          <w:lang w:val="pl-PL" w:eastAsia="pl-PL" w:bidi="pl-PL"/>
          <w:sz w:val="24"/>
          <w:szCs w:val="24"/>
          <w:w w:val="100"/>
          <w:spacing w:val="0"/>
          <w:color w:val="000000"/>
          <w:position w:val="0"/>
        </w:rPr>
        <w:t>skierowano wniosków o orzeczenie zakazu prowadzenia działalności gospodarczej.</w:t>
      </w:r>
    </w:p>
    <w:p>
      <w:pPr>
        <w:pStyle w:val="Style16"/>
        <w:widowControl w:val="0"/>
        <w:keepNext w:val="0"/>
        <w:keepLines w:val="0"/>
        <w:shd w:val="clear" w:color="auto" w:fill="auto"/>
        <w:bidi w:val="0"/>
        <w:jc w:val="both"/>
        <w:spacing w:before="0" w:after="0" w:line="274" w:lineRule="exact"/>
        <w:ind w:left="180" w:right="840" w:firstLine="0"/>
      </w:pPr>
      <w:r>
        <w:rPr>
          <w:lang w:val="pl-PL" w:eastAsia="pl-PL" w:bidi="pl-PL"/>
          <w:sz w:val="24"/>
          <w:szCs w:val="24"/>
          <w:w w:val="100"/>
          <w:spacing w:val="0"/>
          <w:color w:val="000000"/>
          <w:position w:val="0"/>
        </w:rPr>
        <w:t>Dokonując oceny zasadności skierowania w pozostałych sprawach wniosków o orzeczenie zakazu prowadzenia działalności gospodarczej w 2018 r. należy zauważyć, że zaległości ww. podatników dotyczą okresów rozliczeniowych sprzed 1 stycznia 2016 r. W związku z tym do oceny upływu terminu do wydania przez sąd orzeczenia należy w tych sprawach stosować przepis art. 377 ustawy Prawo upadłościowe w brzmieniu obowiązującym przed ww. datą. We wszystkich pozostałych kontrolowanych przypadkach terminy do orzeczenia zakazu, o którym mowa w art. 377 ww. ustawy upłynęły przed 2018 r. Jednocześnie okoliczność, iż począwszy od stycznia 2016 r. ww. podatnicy nie generowali nowych zaległości, powodował brak zastosowania terminów przewidzianych w art. 377 ustawy Prawo upadłościowe w brzmieniu obowiązującym od dnia 1 stycznia 2016 r. Aktualne brzmienie ww. przepisu pozwala bowiem na skierowanie do Sądu skutecznego wniosku o orzeczenie zakazu prowadzenia działalności gospodarczej w przypadku, gdy termin prekluzyjny z art. 377 ww. ustawy w poprzednim brzmieniu wprawdzie upłynął, ale jednocześnie od dnia 1 stycznia 2016 r. podatnik generuje nowe zaległości. W takim przypadku termin do orzeczenia zakazu prowadzenia działalności gospodarczej ocenia się na podstawie art. 377 ustawy Prawo upadłościowe w brzmieniu obowiązującym od dnia 1 stycznia 2016 r. Wówczas, w przypadku, gdy wniosek o ogłoszenie upadłości nie był złożony, termin ten upływa w terminie trzech lat od dnia ustania stanu niewypłacalności albo wygaśnięcia obowiązku złożenia wniosku o ogłoszenie upadłości przez daną osobę.</w:t>
      </w:r>
    </w:p>
    <w:p>
      <w:pPr>
        <w:pStyle w:val="Style16"/>
        <w:widowControl w:val="0"/>
        <w:keepNext w:val="0"/>
        <w:keepLines w:val="0"/>
        <w:shd w:val="clear" w:color="auto" w:fill="auto"/>
        <w:bidi w:val="0"/>
        <w:jc w:val="both"/>
        <w:spacing w:before="0" w:after="0" w:line="274" w:lineRule="exact"/>
        <w:ind w:left="180" w:right="840" w:firstLine="0"/>
      </w:pPr>
      <w:r>
        <w:rPr>
          <w:lang w:val="pl-PL" w:eastAsia="pl-PL" w:bidi="pl-PL"/>
          <w:sz w:val="24"/>
          <w:szCs w:val="24"/>
          <w:w w:val="100"/>
          <w:spacing w:val="0"/>
          <w:color w:val="000000"/>
          <w:position w:val="0"/>
        </w:rPr>
        <w:t>Powyższe zaś oznacza, że niezłożenie w 2018 r. w sprawach objętych kontrolą wniosków o orzeczenie zakazu prowadzenia działalności gospodarczej wynikało z braku podstaw do ww. działania w przepisach prawa.</w:t>
      </w:r>
    </w:p>
    <w:p>
      <w:pPr>
        <w:pStyle w:val="Style16"/>
        <w:widowControl w:val="0"/>
        <w:keepNext w:val="0"/>
        <w:keepLines w:val="0"/>
        <w:shd w:val="clear" w:color="auto" w:fill="auto"/>
        <w:bidi w:val="0"/>
        <w:jc w:val="both"/>
        <w:spacing w:before="0" w:after="0" w:line="274" w:lineRule="exact"/>
        <w:ind w:left="180" w:right="840" w:firstLine="0"/>
      </w:pPr>
      <w:r>
        <w:rPr>
          <w:lang w:val="pl-PL" w:eastAsia="pl-PL" w:bidi="pl-PL"/>
          <w:sz w:val="24"/>
          <w:szCs w:val="24"/>
          <w:w w:val="100"/>
          <w:spacing w:val="0"/>
          <w:color w:val="000000"/>
          <w:position w:val="0"/>
        </w:rPr>
        <w:t>Jednocześnie z wyjaśnień Kierownika Trzeciego Referatu Spraw Wierzycielskich w Urzędzie Skarbowym w Gorzowie Wlkp. wynika, że w Urzędzie inicjowanie i udział w postępowaniach dotyczących orzeczenia zakazu prowadzenia działalności gospodarczej realizowane jest przez SEW-3 przy współpracy z SEW-1 oraz działem egzekucji administracyjnej SEE. Komórki te w trakcie wykonywania swoich zadań typują podatników, którzy generują zaległości lub w stosunku do których postępowanie egzekucyjne jest utrudnione i informują o tych podmiotach - głównie drogą mailową - kierownika SEW-3. Referat SEW-3 po dokonaniu szczegółowej analizy istniejących przesłanek oraz ustaleniu, czy spełnione są warunki do wystąpienia z wnioskiem, wnioskuje o zakaz prowadzenia działalności lub odstępuje od sporządzenia wniosku i informuje o tym fakcie wnioskującą komórkę. Powyższe wyjaśnienia potwierdzają wydruki korespondencji mailowej Kierownika SEW-3 i Kierownika Działu Egzekucji z dnia 11.01.2018 r. i 18.01.2018 r. oraz z dnia 28.07.2018 r. i 31.07.2017 r. oraz informacja pisemna z dnia 06.12.2017 r. o sposobie załatwienia wniosków o zakaz prowadzenia działalności gospodarczej dot. 20 podmiotów, przekazana Kierownikowi SEW-1, Kierownikowi Działu Egzekucji Administracyjnej oraz Zastępcy Naczelnika sprawującemu nadzór w ww. zakresie.</w:t>
      </w:r>
    </w:p>
    <w:p>
      <w:pPr>
        <w:pStyle w:val="Style16"/>
        <w:widowControl w:val="0"/>
        <w:keepNext w:val="0"/>
        <w:keepLines w:val="0"/>
        <w:shd w:val="clear" w:color="auto" w:fill="auto"/>
        <w:bidi w:val="0"/>
        <w:jc w:val="both"/>
        <w:spacing w:before="0" w:after="0" w:line="274" w:lineRule="exact"/>
        <w:ind w:left="180" w:right="840" w:firstLine="0"/>
      </w:pPr>
      <w:r>
        <w:rPr>
          <w:lang w:val="pl-PL" w:eastAsia="pl-PL" w:bidi="pl-PL"/>
          <w:sz w:val="24"/>
          <w:szCs w:val="24"/>
          <w:w w:val="100"/>
          <w:spacing w:val="0"/>
          <w:color w:val="000000"/>
          <w:position w:val="0"/>
        </w:rPr>
        <w:t>Niezależnie od powyższego SEW-3 prowadzi kwartalną analizę własną, którą objęto także podmioty wskazywane wcześniej przez SEW-1 i SEE, wobec których nie było możliwe wcześniejsze sporządzenie wniosku. Z informacji kierownika SEW-3 wynika, że w 2018 r. analizą własną na podstawie danych za październik objęto również podmioty posiadające zaległości powyżej 50 tys. zł. Zgodnie z pisemną informacją Kierownika SEW-3, od 2019 r. analiza obejmuje także podmioty, którym wcześniej zostały odpisane jako przedawnione zaległości podatkowe. Z uwagi na dużą liczbę tych podatników analizę ograniczono do podmiotów, którym łącznie odpisano dokumentem ZOB-DP, zaległości na kwotę powyżej 100 tys. zł. Wyjaśniono, że</w:t>
      </w:r>
    </w:p>
    <w:p>
      <w:pPr>
        <w:framePr w:h="1334" w:wrap="notBeside" w:vAnchor="text" w:hAnchor="text" w:xAlign="right" w:y="1"/>
        <w:widowControl w:val="0"/>
        <w:jc w:val="right"/>
        <w:rPr>
          <w:sz w:val="2"/>
          <w:szCs w:val="2"/>
        </w:rPr>
      </w:pPr>
      <w:r>
        <w:pict>
          <v:shape id="_x0000_s1037" type="#_x0000_t75" style="width:95pt;height:67pt;">
            <v:imagedata r:id="rId18" r:href="rId19"/>
          </v:shape>
        </w:pict>
      </w:r>
    </w:p>
    <w:p>
      <w:pPr>
        <w:widowControl w:val="0"/>
        <w:rPr>
          <w:sz w:val="2"/>
          <w:szCs w:val="2"/>
        </w:rPr>
      </w:pPr>
    </w:p>
    <w:p>
      <w:pPr>
        <w:pStyle w:val="Style16"/>
        <w:widowControl w:val="0"/>
        <w:keepNext w:val="0"/>
        <w:keepLines w:val="0"/>
        <w:shd w:val="clear" w:color="auto" w:fill="auto"/>
        <w:bidi w:val="0"/>
        <w:jc w:val="both"/>
        <w:spacing w:before="143" w:after="0"/>
        <w:ind w:left="0" w:right="760" w:firstLine="0"/>
      </w:pPr>
      <w:r>
        <w:rPr>
          <w:lang w:val="pl-PL" w:eastAsia="pl-PL" w:bidi="pl-PL"/>
          <w:sz w:val="24"/>
          <w:szCs w:val="24"/>
          <w:w w:val="100"/>
          <w:spacing w:val="0"/>
          <w:color w:val="000000"/>
          <w:position w:val="0"/>
        </w:rPr>
        <w:t>docelowo typowanie tych podmiotów odbywać się będzie po ostatecznym pobraniu danych za rok do hurtowni WHTAX, najpóźniej do końca pierwszego kwartału. Analiza w tych przypadkach sprowadza się do monitorowania, czy te podmioty nie generują nowych zaległości oraz, czy dane osoby nie wchodzą w skład organów zarządzających spółek.</w:t>
      </w:r>
    </w:p>
    <w:p>
      <w:pPr>
        <w:pStyle w:val="Style16"/>
        <w:widowControl w:val="0"/>
        <w:keepNext w:val="0"/>
        <w:keepLines w:val="0"/>
        <w:shd w:val="clear" w:color="auto" w:fill="auto"/>
        <w:bidi w:val="0"/>
        <w:jc w:val="both"/>
        <w:spacing w:before="0" w:after="0"/>
        <w:ind w:left="0" w:right="760" w:firstLine="0"/>
      </w:pPr>
      <w:r>
        <w:rPr>
          <w:lang w:val="pl-PL" w:eastAsia="pl-PL" w:bidi="pl-PL"/>
          <w:sz w:val="24"/>
          <w:szCs w:val="24"/>
          <w:w w:val="100"/>
          <w:spacing w:val="0"/>
          <w:color w:val="000000"/>
          <w:position w:val="0"/>
        </w:rPr>
        <w:t>Do kontroli przedłożono wykaz podatników objętych opisaną powyżej analizą w formie tabelarycznej, z podziałem na podmioty:</w:t>
      </w:r>
    </w:p>
    <w:p>
      <w:pPr>
        <w:pStyle w:val="Style16"/>
        <w:numPr>
          <w:ilvl w:val="0"/>
          <w:numId w:val="3"/>
        </w:numPr>
        <w:tabs>
          <w:tab w:leader="none" w:pos="207"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które posiadają zawieszoną działalność gospodarczą,</w:t>
      </w:r>
    </w:p>
    <w:p>
      <w:pPr>
        <w:pStyle w:val="Style16"/>
        <w:numPr>
          <w:ilvl w:val="0"/>
          <w:numId w:val="3"/>
        </w:numPr>
        <w:tabs>
          <w:tab w:leader="none" w:pos="207"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które nie generują nowych zaległości,</w:t>
      </w:r>
    </w:p>
    <w:p>
      <w:pPr>
        <w:pStyle w:val="Style16"/>
        <w:numPr>
          <w:ilvl w:val="0"/>
          <w:numId w:val="3"/>
        </w:numPr>
        <w:tabs>
          <w:tab w:leader="none" w:pos="207"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którym nie umorzono postępowania egzekucyjnego,</w:t>
      </w:r>
    </w:p>
    <w:p>
      <w:pPr>
        <w:pStyle w:val="Style16"/>
        <w:numPr>
          <w:ilvl w:val="0"/>
          <w:numId w:val="3"/>
        </w:numPr>
        <w:tabs>
          <w:tab w:leader="none" w:pos="207"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które wykonują decyzje ratalne,</w:t>
      </w:r>
    </w:p>
    <w:p>
      <w:pPr>
        <w:pStyle w:val="Style16"/>
        <w:numPr>
          <w:ilvl w:val="0"/>
          <w:numId w:val="3"/>
        </w:numPr>
        <w:tabs>
          <w:tab w:leader="none" w:pos="207"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które spłaciły zaległości na dany dzień,</w:t>
      </w:r>
    </w:p>
    <w:p>
      <w:pPr>
        <w:pStyle w:val="Style16"/>
        <w:numPr>
          <w:ilvl w:val="0"/>
          <w:numId w:val="3"/>
        </w:numPr>
        <w:tabs>
          <w:tab w:leader="none" w:pos="207" w:val="left"/>
        </w:tabs>
        <w:widowControl w:val="0"/>
        <w:keepNext w:val="0"/>
        <w:keepLines w:val="0"/>
        <w:shd w:val="clear" w:color="auto" w:fill="auto"/>
        <w:bidi w:val="0"/>
        <w:jc w:val="both"/>
        <w:spacing w:before="0" w:after="176"/>
        <w:ind w:left="0" w:right="0" w:firstLine="0"/>
      </w:pPr>
      <w:r>
        <w:rPr>
          <w:lang w:val="pl-PL" w:eastAsia="pl-PL" w:bidi="pl-PL"/>
          <w:sz w:val="24"/>
          <w:szCs w:val="24"/>
          <w:w w:val="100"/>
          <w:spacing w:val="0"/>
          <w:color w:val="000000"/>
          <w:position w:val="0"/>
        </w:rPr>
        <w:t>którym odpisano zaległości z powodu przedawnienia.</w:t>
      </w:r>
    </w:p>
    <w:p>
      <w:pPr>
        <w:pStyle w:val="Style16"/>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Ponadto, jak wyjaśnił Kierownik SEW-3, po otrzymaniu z komórki egzekucyjnej postanowienia</w:t>
      </w:r>
    </w:p>
    <w:p>
      <w:pPr>
        <w:pStyle w:val="Style16"/>
        <w:numPr>
          <w:ilvl w:val="0"/>
          <w:numId w:val="11"/>
        </w:numPr>
        <w:tabs>
          <w:tab w:leader="none" w:pos="270" w:val="left"/>
        </w:tabs>
        <w:widowControl w:val="0"/>
        <w:keepNext w:val="0"/>
        <w:keepLines w:val="0"/>
        <w:shd w:val="clear" w:color="auto" w:fill="auto"/>
        <w:bidi w:val="0"/>
        <w:jc w:val="both"/>
        <w:spacing w:before="0" w:after="0" w:line="274" w:lineRule="exact"/>
        <w:ind w:left="0" w:right="760" w:firstLine="0"/>
      </w:pPr>
      <w:r>
        <w:rPr>
          <w:lang w:val="pl-PL" w:eastAsia="pl-PL" w:bidi="pl-PL"/>
          <w:sz w:val="24"/>
          <w:szCs w:val="24"/>
          <w:w w:val="100"/>
          <w:spacing w:val="0"/>
          <w:color w:val="000000"/>
          <w:position w:val="0"/>
        </w:rPr>
        <w:t>umorzeniu postępowania egzekucyjnego ze względu na bezskuteczność, stosownie do pkt 8.2 Wytycznych NUS nr 7/2017 w sprawie zarządzania zaległościami podatkowymi, przeprowadzana jest analiza, czy zachodzą przesłanki do orzeczenia zakazu prowadzenia działalności gospodarczej.</w:t>
      </w:r>
    </w:p>
    <w:p>
      <w:pPr>
        <w:pStyle w:val="Style16"/>
        <w:widowControl w:val="0"/>
        <w:keepNext w:val="0"/>
        <w:keepLines w:val="0"/>
        <w:shd w:val="clear" w:color="auto" w:fill="auto"/>
        <w:bidi w:val="0"/>
        <w:jc w:val="both"/>
        <w:spacing w:before="0" w:after="180" w:line="274" w:lineRule="exact"/>
        <w:ind w:left="0" w:right="760" w:firstLine="0"/>
      </w:pPr>
      <w:r>
        <w:rPr>
          <w:lang w:val="pl-PL" w:eastAsia="pl-PL" w:bidi="pl-PL"/>
          <w:sz w:val="24"/>
          <w:szCs w:val="24"/>
          <w:w w:val="100"/>
          <w:spacing w:val="0"/>
          <w:color w:val="000000"/>
          <w:position w:val="0"/>
        </w:rPr>
        <w:t>Z przekazanych do kontroli materiałów w ww. zakresie wynika, że w 2018 r. skierowano do Sądu cztery wnioski o orzeczenie zakazu prowadzenia działalności gospodarczej, z czego jeden został wycofany przez Wnioskodawcę, w dwóch przypadkach orzeczone przez sąd zakazy uprawomocniły się w dniach 6 grudnia i 22 grudnia 2018 r., a w jednej sprawie do dnia kontroli nie zostało wydane orzeczenie.</w:t>
      </w:r>
    </w:p>
    <w:p>
      <w:pPr>
        <w:pStyle w:val="Style26"/>
        <w:widowControl w:val="0"/>
        <w:keepNext w:val="0"/>
        <w:keepLines w:val="0"/>
        <w:shd w:val="clear" w:color="auto" w:fill="auto"/>
        <w:bidi w:val="0"/>
        <w:spacing w:before="0" w:after="0"/>
        <w:ind w:left="0" w:right="760" w:firstLine="0"/>
      </w:pPr>
      <w:r>
        <w:rPr>
          <w:rStyle w:val="CharStyle37"/>
          <w:i w:val="0"/>
          <w:iCs w:val="0"/>
        </w:rPr>
        <w:t>Ponadto z wytycznych dotyczących zarządzania zaległościami podatkowymi w urzędzie skarbowym (wersja z dnia 24 listopada 2016 r.) - pkt 3.2. lit. a) wynika, że „</w:t>
      </w:r>
      <w:r>
        <w:rPr>
          <w:lang w:val="pl-PL" w:eastAsia="pl-PL" w:bidi="pl-PL"/>
          <w:sz w:val="24"/>
          <w:szCs w:val="24"/>
          <w:w w:val="100"/>
          <w:spacing w:val="0"/>
          <w:color w:val="000000"/>
          <w:position w:val="0"/>
        </w:rPr>
        <w:t xml:space="preserve">Komórka </w:t>
      </w:r>
      <w:r>
        <w:rPr>
          <w:rStyle w:val="CharStyle38"/>
          <w:i/>
          <w:iCs/>
        </w:rPr>
        <w:t xml:space="preserve">SWpo </w:t>
      </w:r>
      <w:r>
        <w:rPr>
          <w:lang w:val="pl-PL" w:eastAsia="pl-PL" w:bidi="pl-PL"/>
          <w:sz w:val="24"/>
          <w:szCs w:val="24"/>
          <w:w w:val="100"/>
          <w:spacing w:val="0"/>
          <w:color w:val="000000"/>
          <w:position w:val="0"/>
        </w:rPr>
        <w:t>otrzymaniu postanowienia o umorzeniu postępowania egzekucyjnego lub informacji o bezskuteczności egzekucji w części ma obowiązek sprawdzić, czy zachodzą przesłanki do: orzeczenia o odpowiedzialności osób trzecich, wystąpienia z wnioskiem o ogłoszenie upadłości, wystąpienia z wnioskiem o uznanie za bezskuteczną czynności prawnej zobowiązanego dokonanej z pokrzywdzeniem wierzyciela, wystąpienia z wnioskiem o zakaz prowadzenia działalności gospodarczej, jeśli zachodzą przesłanki określone</w:t>
      </w:r>
      <w:r>
        <w:rPr>
          <w:rStyle w:val="CharStyle37"/>
          <w:i w:val="0"/>
          <w:iCs w:val="0"/>
        </w:rPr>
        <w:t xml:space="preserve"> w </w:t>
      </w:r>
      <w:r>
        <w:rPr>
          <w:lang w:val="pl-PL" w:eastAsia="pl-PL" w:bidi="pl-PL"/>
          <w:sz w:val="24"/>
          <w:szCs w:val="24"/>
          <w:w w:val="100"/>
          <w:spacing w:val="0"/>
          <w:color w:val="000000"/>
          <w:position w:val="0"/>
        </w:rPr>
        <w:t>art. 373 lub 374 ustawy prawo upadłościowe</w:t>
      </w:r>
    </w:p>
    <w:p>
      <w:pPr>
        <w:pStyle w:val="Style26"/>
        <w:numPr>
          <w:ilvl w:val="0"/>
          <w:numId w:val="11"/>
        </w:numPr>
        <w:tabs>
          <w:tab w:leader="none" w:pos="274" w:val="left"/>
        </w:tabs>
        <w:widowControl w:val="0"/>
        <w:keepNext w:val="0"/>
        <w:keepLines w:val="0"/>
        <w:shd w:val="clear" w:color="auto" w:fill="auto"/>
        <w:bidi w:val="0"/>
        <w:spacing w:before="0" w:after="0"/>
        <w:ind w:left="0" w:right="760" w:firstLine="0"/>
      </w:pPr>
      <w:r>
        <w:rPr>
          <w:lang w:val="pl-PL" w:eastAsia="pl-PL" w:bidi="pl-PL"/>
          <w:sz w:val="24"/>
          <w:szCs w:val="24"/>
          <w:w w:val="100"/>
          <w:spacing w:val="0"/>
          <w:color w:val="000000"/>
          <w:position w:val="0"/>
        </w:rPr>
        <w:t>naprawcze. Przeprowadzona analiza musi być udokumentowana notatką służbową zatwierdzoną przez kierownika komórki SW/Naczelnika</w:t>
      </w:r>
      <w:r>
        <w:rPr>
          <w:lang w:val="pl-PL" w:eastAsia="pl-PL" w:bidi="pl-PL"/>
          <w:vertAlign w:val="superscript"/>
          <w:sz w:val="24"/>
          <w:szCs w:val="24"/>
          <w:w w:val="100"/>
          <w:spacing w:val="0"/>
          <w:color w:val="000000"/>
          <w:position w:val="0"/>
        </w:rPr>
        <w:t>,</w:t>
      </w:r>
      <w:r>
        <w:rPr>
          <w:lang w:val="pl-PL" w:eastAsia="pl-PL" w:bidi="pl-PL"/>
          <w:sz w:val="24"/>
          <w:szCs w:val="24"/>
          <w:w w:val="100"/>
          <w:spacing w:val="0"/>
          <w:color w:val="000000"/>
          <w:position w:val="0"/>
        </w:rPr>
        <w:t>\</w:t>
      </w:r>
    </w:p>
    <w:p>
      <w:pPr>
        <w:pStyle w:val="Style16"/>
        <w:widowControl w:val="0"/>
        <w:keepNext w:val="0"/>
        <w:keepLines w:val="0"/>
        <w:shd w:val="clear" w:color="auto" w:fill="auto"/>
        <w:bidi w:val="0"/>
        <w:jc w:val="both"/>
        <w:spacing w:before="0" w:after="0" w:line="274" w:lineRule="exact"/>
        <w:ind w:left="0" w:right="760" w:firstLine="0"/>
      </w:pPr>
      <w:r>
        <w:rPr>
          <w:lang w:val="pl-PL" w:eastAsia="pl-PL" w:bidi="pl-PL"/>
          <w:sz w:val="24"/>
          <w:szCs w:val="24"/>
          <w:w w:val="100"/>
          <w:spacing w:val="0"/>
          <w:color w:val="000000"/>
          <w:position w:val="0"/>
        </w:rPr>
        <w:t>Natomiast z wyjaśnień Kierownika SEW-3 wynika, że po umorzeniu postępowania egzekucyjnego ze względu na bezskuteczność egzekucji komórka dokonuje analizy przede wszystkim pod kątem możliwości orzeczenia odpowiedzialności osób trzecich za zaległości podatnika. W przypadku wszczęcia postępowania w ww. sprawie nie sporządza się notatki. Natomiast w sytuacji wystąpienia przeszkód w orzeczeniu odpowiedzialności sporządzana jest notatka zawierająca ustalenia dotyczące: przyczyn odstąpienia od orzeczenia odpowiedzialności, przesłanek do wystąpienia z wnioskiem o upadłość, przesłanek wystąpienia z wnioskiem o uznanie czynności prawnej zobowiązanego dokonanej z pokrzywdzeniem wierzyciela za bezskuteczną, możliwości wystąpienia z wnioskiem o zakaz prowadzenia działalności gospodarczej. Do kontroli przedstawiono 5 notatek służbowych, które zawierają analizę w zakresie wynikającym z Wytycznych.</w:t>
      </w:r>
    </w:p>
    <w:p>
      <w:pPr>
        <w:pStyle w:val="Style16"/>
        <w:widowControl w:val="0"/>
        <w:keepNext w:val="0"/>
        <w:keepLines w:val="0"/>
        <w:shd w:val="clear" w:color="auto" w:fill="auto"/>
        <w:bidi w:val="0"/>
        <w:jc w:val="both"/>
        <w:spacing w:before="0" w:after="0" w:line="274" w:lineRule="exact"/>
        <w:ind w:left="0" w:right="760" w:firstLine="0"/>
      </w:pPr>
      <w:r>
        <w:rPr>
          <w:lang w:val="pl-PL" w:eastAsia="pl-PL" w:bidi="pl-PL"/>
          <w:sz w:val="24"/>
          <w:szCs w:val="24"/>
          <w:w w:val="100"/>
          <w:spacing w:val="0"/>
          <w:color w:val="000000"/>
          <w:position w:val="0"/>
        </w:rPr>
        <w:t>Natomiast w zakresie okoliczności dotyczących wystąpienia z wnioskiem o orzeczenie zakazu prowadzenia działalności gospodarczej wskazano, że analiza ta dotyczy osób fizycznych będących wspólnikami spółek cywilnych lub pełniących funkcje zarządzające w organizacji i dokonywana</w:t>
        <w:br w:type="page"/>
        <w:t>jest po umorzeniu postępowania na osoby trzecie, jeżeli wcześniej nie dojdzie do zapłaty należności, jej wyegzekwowania lub wygaśnięcia przez przedawnienie.</w:t>
      </w:r>
    </w:p>
    <w:p>
      <w:pPr>
        <w:pStyle w:val="Style16"/>
        <w:widowControl w:val="0"/>
        <w:keepNext w:val="0"/>
        <w:keepLines w:val="0"/>
        <w:shd w:val="clear" w:color="auto" w:fill="auto"/>
        <w:bidi w:val="0"/>
        <w:jc w:val="both"/>
        <w:spacing w:before="0" w:after="236"/>
        <w:ind w:left="0" w:right="700" w:firstLine="0"/>
      </w:pPr>
      <w:r>
        <w:pict>
          <v:shape id="_x0000_s1038" type="#_x0000_t75" style="position:absolute;margin-left:-65.75pt;margin-top:-101.75pt;width:111.85pt;height:131.5pt;z-index:-125829374;mso-wrap-distance-left:5.pt;mso-wrap-distance-right:5.pt;mso-wrap-distance-bottom:4.9pt;mso-position-horizontal-relative:margin" wrapcoords="0 0 21600 0 21600 21600 0 21600 0 0">
            <v:imagedata r:id="rId20" r:href="rId21"/>
            <w10:wrap type="square" anchorx="margin"/>
          </v:shape>
        </w:pict>
      </w:r>
      <w:r>
        <w:rPr>
          <w:lang w:val="pl-PL" w:eastAsia="pl-PL" w:bidi="pl-PL"/>
          <w:sz w:val="24"/>
          <w:szCs w:val="24"/>
          <w:w w:val="100"/>
          <w:spacing w:val="0"/>
          <w:color w:val="000000"/>
          <w:position w:val="0"/>
        </w:rPr>
        <w:t>Z wyjaśnień wynika, że brak notatek w przypadku wydawania decyzji o odpowiedzialności podatkowej osoby trzeciej był spowodowany błędnie zinterpretowanymi zapisami Wytycznych IAS. Wskazano, że aktualnie wraz z wszczęciem postępowania, do akceptacji będzie przedkładana również notatka zawierająca analizę w zakresie m.in. wystąpienia o orzeczenie zakazu, o którym mowa w art. 373 ustawy - Prawo upadłościowe.</w:t>
      </w:r>
    </w:p>
    <w:p>
      <w:pPr>
        <w:pStyle w:val="Style16"/>
        <w:widowControl w:val="0"/>
        <w:keepNext w:val="0"/>
        <w:keepLines w:val="0"/>
        <w:shd w:val="clear" w:color="auto" w:fill="auto"/>
        <w:bidi w:val="0"/>
        <w:jc w:val="both"/>
        <w:spacing w:before="0" w:after="0" w:line="274" w:lineRule="exact"/>
        <w:ind w:left="0" w:right="700" w:firstLine="0"/>
      </w:pPr>
      <w:r>
        <w:pict>
          <v:shape id="_x0000_s1039" type="#_x0000_t202" style="position:absolute;margin-left:-63.85pt;margin-top:206.85pt;width:12.95pt;height:19.95pt;z-index:-125829373;mso-wrap-distance-left:5.pt;mso-wrap-distance-right:58.55pt;mso-position-horizontal-relative:margin" filled="f" stroked="f">
            <v:textbox style="mso-fit-shape-to-text:t" inset="0,0,0,0">
              <w:txbxContent>
                <w:p>
                  <w:pPr>
                    <w:pStyle w:val="Style16"/>
                    <w:widowControl w:val="0"/>
                    <w:keepNext w:val="0"/>
                    <w:keepLines w:val="0"/>
                    <w:shd w:val="clear" w:color="auto" w:fill="auto"/>
                    <w:bidi w:val="0"/>
                    <w:jc w:val="left"/>
                    <w:spacing w:before="0" w:after="0" w:line="240" w:lineRule="exact"/>
                    <w:ind w:left="0" w:right="0" w:firstLine="0"/>
                  </w:pPr>
                  <w:r>
                    <w:rPr>
                      <w:rStyle w:val="CharStyle25"/>
                    </w:rPr>
                    <w:t>Sj</w:t>
                  </w:r>
                </w:p>
                <w:p>
                  <w:pPr>
                    <w:pStyle w:val="Style26"/>
                    <w:widowControl w:val="0"/>
                    <w:keepNext w:val="0"/>
                    <w:keepLines w:val="0"/>
                    <w:shd w:val="clear" w:color="auto" w:fill="auto"/>
                    <w:bidi w:val="0"/>
                    <w:jc w:val="left"/>
                    <w:spacing w:before="0" w:after="0" w:line="240" w:lineRule="exact"/>
                    <w:ind w:left="0" w:right="0" w:firstLine="0"/>
                  </w:pPr>
                  <w:r>
                    <w:rPr>
                      <w:rStyle w:val="CharStyle27"/>
                      <w:i/>
                      <w:iCs/>
                    </w:rPr>
                    <w:t>-A</w:t>
                  </w:r>
                </w:p>
              </w:txbxContent>
            </v:textbox>
            <w10:wrap type="square" side="right" anchorx="margin"/>
          </v:shape>
        </w:pict>
      </w:r>
      <w:r>
        <w:rPr>
          <w:lang w:val="pl-PL" w:eastAsia="pl-PL" w:bidi="pl-PL"/>
          <w:sz w:val="24"/>
          <w:szCs w:val="24"/>
          <w:w w:val="100"/>
          <w:spacing w:val="0"/>
          <w:color w:val="000000"/>
          <w:position w:val="0"/>
        </w:rPr>
        <w:t>Zatem powyższe ustalenia wskazują, że w kontrolowanym Urzędzie komórka SEW-3 we współpracy z innymi komórkami organizacyjnymi podejmuje różnorodne działania mające na celu wytypowanie spraw, w których uzasadnione jest wystąpienie do Sądu z wnioskiem o orzeczenie zakazu prowadzenia działalności gospodarczej na własny rachunek lub w ramach spółki cywilnej oraz pełnienia funkcji zarządcy sukcesyjnego, członka rady nadzorczej, członka komisji rewizyjnej, reprezentanta lub pełnomocnika osoby fizycznej prowadzącej działalność gospodarczą w zakresie tej działalności, spółki handlowej, przedsiębiorstwa państwowego, spółdzielni, fundacji lub stowarzyszenia. W uzasadnionych przypadkach Urząd kieruje stosowne wnioski do sądu. Jednocześnie z wyjaśnień Kierownika komórki SEW-3 w zakresie inicjowania postępowań upadłościowych wynika, że właściwie rozumiana jest rola wierzyciela podatkowego, którego zadaniem jest doprowadzenie w jak największym stopniu do zaspokojenia zaległości podatkowych, a dopiero w następnej kolejności - korzystanie z instrumentów prawnych, które służą do eliminowania z obrotu prawnego podmiotów, które nie wywiązują się z ciążących na nich zobowiązań. Wykorzystując te instrumenty, istotną wagę przywiązuje się do ponoszonych w tym celu kosztów. Jak bowiem wyjaśniła Kierownik komórki SEW-3 złożenie wniosku o ogłoszenie upadłości wymaga poniesienia opłaty od wniosku w kwocie 1.000 zł oraz wydatkowania środków na zaliczkę. Natomiast wnioski o orzeczenie zakazu prowadzenia działalności gospodarczej są bezkosztowe i z tego powodu winny być stosowane jako podstawowy instrument eliminowania z obrotu prawnego osób, które prowadząc działalność gospodarczą na własny rachunek, bądź uczestnicząc w zarządzaniu działalnością gospodarczą innego podmiotu, doprowadzają do generowania zaległości podatkowych.</w:t>
      </w:r>
    </w:p>
    <w:p>
      <w:pPr>
        <w:pStyle w:val="Style16"/>
        <w:widowControl w:val="0"/>
        <w:keepNext w:val="0"/>
        <w:keepLines w:val="0"/>
        <w:shd w:val="clear" w:color="auto" w:fill="auto"/>
        <w:bidi w:val="0"/>
        <w:jc w:val="both"/>
        <w:spacing w:before="0" w:after="240" w:line="274" w:lineRule="exact"/>
        <w:ind w:left="0" w:right="700" w:firstLine="0"/>
      </w:pPr>
      <w:r>
        <w:rPr>
          <w:lang w:val="pl-PL" w:eastAsia="pl-PL" w:bidi="pl-PL"/>
          <w:sz w:val="24"/>
          <w:szCs w:val="24"/>
          <w:w w:val="100"/>
          <w:spacing w:val="0"/>
          <w:color w:val="000000"/>
          <w:position w:val="0"/>
        </w:rPr>
        <w:t>Brak udokumentowania w formie pisemnej, przeprowadzanej po umorzeniu postępowania egzekucyjnego, analizy przesłanek wystąpienia z wnioskiem o orzeczenie zakazu prowadzenia działalności gospodarczej, w sytuacji, gdy wydawana jest decyzja orzekająca o odpowiedzialności podatkowej osoby trzeciej - nie stanowi uchybienia z tego względu, że w uzasadnionych przypadkach analizy w ww. zakresie były przeprowadzane niezależnie od umorzenia postępowania egzekucyjnego (na wniosek Działu Egzekucji Administracyjnej oraz analizy własne SEW-3).</w:t>
      </w:r>
    </w:p>
    <w:p>
      <w:pPr>
        <w:pStyle w:val="Style16"/>
        <w:widowControl w:val="0"/>
        <w:keepNext w:val="0"/>
        <w:keepLines w:val="0"/>
        <w:shd w:val="clear" w:color="auto" w:fill="auto"/>
        <w:bidi w:val="0"/>
        <w:jc w:val="both"/>
        <w:spacing w:before="0" w:after="267" w:line="274" w:lineRule="exact"/>
        <w:ind w:left="0" w:right="700" w:firstLine="0"/>
      </w:pPr>
      <w:r>
        <w:rPr>
          <w:lang w:val="pl-PL" w:eastAsia="pl-PL" w:bidi="pl-PL"/>
          <w:sz w:val="24"/>
          <w:szCs w:val="24"/>
          <w:w w:val="100"/>
          <w:spacing w:val="0"/>
          <w:color w:val="000000"/>
          <w:position w:val="0"/>
        </w:rPr>
        <w:t>Dodatkowo należy zauważyć, że orzeczenie zakazu prowadzenia działalności gospodarczej na wniosek wierzyciela podatkowego, może pełnić rolę -narzędzia dyscyplinującego podatników w zakresie wywiązywania się z ciążących na nich zobowiązań podatkowych, natomiast obowiązujące od dnia 1 stycznia 2016 r. brzmienie art. 377 ustawy Prawo upadłościowe umożliwia w większym stopniu niż uprzednio korzystanie z ww. uprawnienia. Zatem należy ustalić w Urzędzie jednolity i spójny system typowania spraw, w których składane będą wnioski na podstawie art. 373 ww. ustawy. Obecne działania wierzyciela są właściwe i zmierzają we właściwym kierunku. Niemniej jednak konieczne jest, aby stały się one działaniem systemowym podlegającym nadzorowi przełożonych.</w:t>
      </w:r>
    </w:p>
    <w:p>
      <w:pPr>
        <w:pStyle w:val="Style16"/>
        <w:widowControl w:val="0"/>
        <w:keepNext w:val="0"/>
        <w:keepLines w:val="0"/>
        <w:shd w:val="clear" w:color="auto" w:fill="auto"/>
        <w:bidi w:val="0"/>
        <w:jc w:val="both"/>
        <w:spacing w:before="0" w:after="0" w:line="240" w:lineRule="exact"/>
        <w:ind w:left="0" w:right="0" w:firstLine="0"/>
        <w:sectPr>
          <w:footerReference w:type="even" r:id="rId22"/>
          <w:footerReference w:type="default" r:id="rId23"/>
          <w:footerReference w:type="first" r:id="rId24"/>
          <w:titlePg/>
          <w:pgSz w:w="12161" w:h="16838"/>
          <w:pgMar w:top="161" w:left="1391" w:right="268" w:bottom="1311" w:header="0" w:footer="3" w:gutter="0"/>
          <w:rtlGutter w:val="0"/>
          <w:cols w:space="720"/>
          <w:noEndnote/>
          <w:docGrid w:linePitch="360"/>
        </w:sectPr>
      </w:pPr>
      <w:r>
        <w:rPr>
          <w:lang w:val="pl-PL" w:eastAsia="pl-PL" w:bidi="pl-PL"/>
          <w:sz w:val="24"/>
          <w:szCs w:val="24"/>
          <w:w w:val="100"/>
          <w:spacing w:val="0"/>
          <w:color w:val="000000"/>
          <w:position w:val="0"/>
        </w:rPr>
        <w:t>W przedmiotowym zakresie nie stwierdzono nieprawidłowości ani uchybień.</w:t>
      </w:r>
    </w:p>
    <w:p>
      <w:pPr>
        <w:pStyle w:val="Style19"/>
        <w:numPr>
          <w:ilvl w:val="0"/>
          <w:numId w:val="1"/>
        </w:numPr>
        <w:tabs>
          <w:tab w:leader="none" w:pos="303" w:val="left"/>
        </w:tabs>
        <w:widowControl w:val="0"/>
        <w:keepNext/>
        <w:keepLines/>
        <w:shd w:val="clear" w:color="auto" w:fill="auto"/>
        <w:bidi w:val="0"/>
        <w:jc w:val="both"/>
        <w:spacing w:before="0" w:after="44" w:line="240" w:lineRule="exact"/>
        <w:ind w:left="0" w:right="0" w:firstLine="0"/>
      </w:pPr>
      <w:bookmarkStart w:id="4" w:name="bookmark4"/>
      <w:r>
        <w:rPr>
          <w:lang w:val="pl-PL" w:eastAsia="pl-PL" w:bidi="pl-PL"/>
          <w:sz w:val="24"/>
          <w:szCs w:val="24"/>
          <w:w w:val="100"/>
          <w:spacing w:val="0"/>
          <w:color w:val="000000"/>
          <w:position w:val="0"/>
        </w:rPr>
        <w:t>Podejmowanie działań mających na celu poszukiwanie majątku zobowiązanego</w:t>
      </w:r>
      <w:bookmarkEnd w:id="4"/>
    </w:p>
    <w:p>
      <w:pPr>
        <w:pStyle w:val="Style16"/>
        <w:widowControl w:val="0"/>
        <w:keepNext w:val="0"/>
        <w:keepLines w:val="0"/>
        <w:shd w:val="clear" w:color="auto" w:fill="auto"/>
        <w:bidi w:val="0"/>
        <w:jc w:val="both"/>
        <w:spacing w:before="0" w:after="0"/>
        <w:ind w:left="0" w:right="700" w:firstLine="400"/>
      </w:pPr>
      <w:r>
        <w:rPr>
          <w:lang w:val="pl-PL" w:eastAsia="pl-PL" w:bidi="pl-PL"/>
          <w:sz w:val="24"/>
          <w:szCs w:val="24"/>
          <w:w w:val="100"/>
          <w:spacing w:val="0"/>
          <w:color w:val="000000"/>
          <w:position w:val="0"/>
        </w:rPr>
        <w:t xml:space="preserve">W Urzędzie Skarbowym w Gorzowie Wlkp., działaniami mającymi na celu poszukiwanie majątku zobowiązanego po umorzeniu postępowania egzekucyjnego, zajmuje się Pierwszy Referat Spraw Wierzycielskich SEW-1. Zgodnie z pkt 8.2 ppkt d „ </w:t>
      </w:r>
      <w:r>
        <w:rPr>
          <w:rStyle w:val="CharStyle18"/>
        </w:rPr>
        <w:t>Wytycznych nr 7/17 Naczelnika Urzędu Skarbowego w Gorzowie Wielkopolskim z dnia 23 maja 2017r. w sprawie zarządzania zaległościami podatkowymi, w tym zapobiegania ich przedawnieniu”</w:t>
      </w:r>
      <w:r>
        <w:rPr>
          <w:lang w:val="pl-PL" w:eastAsia="pl-PL" w:bidi="pl-PL"/>
          <w:sz w:val="24"/>
          <w:szCs w:val="24"/>
          <w:w w:val="100"/>
          <w:spacing w:val="0"/>
          <w:color w:val="000000"/>
          <w:position w:val="0"/>
        </w:rPr>
        <w:t xml:space="preserve"> Referat w przypadku zaległości powyżej 10-krotności kosztów upomnienia zobowiązany jest do poszukiwania majątku zobowiązanego. W tym celu:</w:t>
      </w:r>
    </w:p>
    <w:p>
      <w:pPr>
        <w:pStyle w:val="Style16"/>
        <w:numPr>
          <w:ilvl w:val="0"/>
          <w:numId w:val="5"/>
        </w:numPr>
        <w:tabs>
          <w:tab w:leader="none" w:pos="562" w:val="left"/>
        </w:tabs>
        <w:widowControl w:val="0"/>
        <w:keepNext w:val="0"/>
        <w:keepLines w:val="0"/>
        <w:shd w:val="clear" w:color="auto" w:fill="auto"/>
        <w:bidi w:val="0"/>
        <w:jc w:val="both"/>
        <w:spacing w:before="0" w:after="0"/>
        <w:ind w:left="560" w:right="700" w:hanging="320"/>
      </w:pPr>
      <w:r>
        <w:rPr>
          <w:lang w:val="pl-PL" w:eastAsia="pl-PL" w:bidi="pl-PL"/>
          <w:sz w:val="24"/>
          <w:szCs w:val="24"/>
          <w:w w:val="100"/>
          <w:spacing w:val="0"/>
          <w:color w:val="000000"/>
          <w:position w:val="0"/>
        </w:rPr>
        <w:t>nie rzadziej niż dwa razy w roku dokonuje sprawdzenia w systemach informatycznych i aplikacjach, tj. co najmniej w aplikacji e-Orus - „Wykaz poszukiwanie majątku po umorzeniu w Egzekucji” i „Karta informacji o zobowiązanym”. W uzasadnionych przypadkach dodatkowo sporządza się wydruk z aplikacji POLTAX, CzM, CERBER;</w:t>
      </w:r>
    </w:p>
    <w:p>
      <w:pPr>
        <w:pStyle w:val="Style16"/>
        <w:numPr>
          <w:ilvl w:val="0"/>
          <w:numId w:val="5"/>
        </w:numPr>
        <w:tabs>
          <w:tab w:leader="none" w:pos="562" w:val="left"/>
        </w:tabs>
        <w:widowControl w:val="0"/>
        <w:keepNext w:val="0"/>
        <w:keepLines w:val="0"/>
        <w:shd w:val="clear" w:color="auto" w:fill="auto"/>
        <w:bidi w:val="0"/>
        <w:jc w:val="both"/>
        <w:spacing w:before="0" w:after="0"/>
        <w:ind w:left="560" w:right="700" w:hanging="320"/>
      </w:pPr>
      <w:r>
        <w:rPr>
          <w:lang w:val="pl-PL" w:eastAsia="pl-PL" w:bidi="pl-PL"/>
          <w:sz w:val="24"/>
          <w:szCs w:val="24"/>
          <w:w w:val="100"/>
          <w:spacing w:val="0"/>
          <w:color w:val="000000"/>
          <w:position w:val="0"/>
        </w:rPr>
        <w:t>nie rzadziej niż raz w roku występuje z zapytaniami o majątek w szczególności do: ZUS, KRUS, CEPIK, Centralnej Informacji Ksiąg Wieczystych, OGNIVO.</w:t>
      </w:r>
    </w:p>
    <w:p>
      <w:pPr>
        <w:pStyle w:val="Style16"/>
        <w:widowControl w:val="0"/>
        <w:keepNext w:val="0"/>
        <w:keepLines w:val="0"/>
        <w:shd w:val="clear" w:color="auto" w:fill="auto"/>
        <w:bidi w:val="0"/>
        <w:jc w:val="both"/>
        <w:spacing w:before="0" w:after="116"/>
        <w:ind w:left="0" w:right="700" w:firstLine="0"/>
      </w:pPr>
      <w:r>
        <w:rPr>
          <w:lang w:val="pl-PL" w:eastAsia="pl-PL" w:bidi="pl-PL"/>
          <w:sz w:val="24"/>
          <w:szCs w:val="24"/>
          <w:w w:val="100"/>
          <w:spacing w:val="0"/>
          <w:color w:val="000000"/>
          <w:position w:val="0"/>
        </w:rPr>
        <w:t>Powyższe ustalenia wymagają udokumentowania w szczególności poprzez sporządzenie wydruków z ww. baz danych lub poprzez spisanie adnotacji lub wypełnienie właściwego formularza.</w:t>
      </w:r>
    </w:p>
    <w:p>
      <w:pPr>
        <w:pStyle w:val="Style16"/>
        <w:widowControl w:val="0"/>
        <w:keepNext w:val="0"/>
        <w:keepLines w:val="0"/>
        <w:shd w:val="clear" w:color="auto" w:fill="auto"/>
        <w:bidi w:val="0"/>
        <w:jc w:val="both"/>
        <w:spacing w:before="0" w:after="120" w:line="274" w:lineRule="exact"/>
        <w:ind w:left="0" w:right="700" w:firstLine="840"/>
      </w:pPr>
      <w:r>
        <w:rPr>
          <w:lang w:val="pl-PL" w:eastAsia="pl-PL" w:bidi="pl-PL"/>
          <w:sz w:val="24"/>
          <w:szCs w:val="24"/>
          <w:w w:val="100"/>
          <w:spacing w:val="0"/>
          <w:color w:val="000000"/>
          <w:position w:val="0"/>
        </w:rPr>
        <w:t xml:space="preserve">W celu sprawdzenia zakresu działań podejmowanych przez Urząd i realizacji ww. </w:t>
      </w:r>
      <w:r>
        <w:rPr>
          <w:rStyle w:val="CharStyle18"/>
        </w:rPr>
        <w:t>Wytycznych,</w:t>
      </w:r>
      <w:r>
        <w:rPr>
          <w:lang w:val="pl-PL" w:eastAsia="pl-PL" w:bidi="pl-PL"/>
          <w:sz w:val="24"/>
          <w:szCs w:val="24"/>
          <w:w w:val="100"/>
          <w:spacing w:val="0"/>
          <w:color w:val="000000"/>
          <w:position w:val="0"/>
        </w:rPr>
        <w:t xml:space="preserve"> kontrolą objęto 6 spraw, w których postępowanie egzekucyjne zostało umorzone w okresie od dnia 1.01.2017 r. do 30.06.2018 r., wyłonione na podstawie raportów z bazy WHTAX. Ponadto do kontroli wytypowano na podstawie wykazu 4 sprawy, w których upływ terminu przedawnienia zobowiązania ciążącego na osobie trzeciej wynikającego z decyzji orzekającej o jej odpowiedzialności - przewidziany w przepisie art. 118 § 2 Ordynacji podatkowej - tj. po upływie 3 lat od końca roku kalendarzowego, w którym została doręczona decyzja, nastąpił w 2018 r.</w:t>
      </w:r>
    </w:p>
    <w:p>
      <w:pPr>
        <w:pStyle w:val="Style16"/>
        <w:widowControl w:val="0"/>
        <w:keepNext w:val="0"/>
        <w:keepLines w:val="0"/>
        <w:shd w:val="clear" w:color="auto" w:fill="auto"/>
        <w:bidi w:val="0"/>
        <w:jc w:val="both"/>
        <w:spacing w:before="0" w:after="0" w:line="274" w:lineRule="exact"/>
        <w:ind w:left="0" w:right="700" w:firstLine="840"/>
      </w:pPr>
      <w:r>
        <w:rPr>
          <w:lang w:val="pl-PL" w:eastAsia="pl-PL" w:bidi="pl-PL"/>
          <w:sz w:val="24"/>
          <w:szCs w:val="24"/>
          <w:w w:val="100"/>
          <w:spacing w:val="0"/>
          <w:color w:val="000000"/>
          <w:position w:val="0"/>
        </w:rPr>
        <w:t>Ustalenia dokonane w toku kontroli w wyniku analizy ww. spraw wskazują, że komórka SEW-1 podejmuje próby ustalenia majątku i wdrożenia ponownej egzekucji. Szukając majątku dłużników, u których nastąpiło umorzenie postępowania egzekucyjnego, gromadzone są informacje o zobowiązanym pochodzące z odpowiedzi na kierowane zapytania do podmiotów zewnętrznych, tj.: ZUS, CIKW, Starostwo Powiatowe, CEPiK, spółdzielnie mieszkaniowe czy pracodawcy. Ponadto sporządzane są wydruki z aplikacji: e-Orus, POLTAX, CzM, CERBER, JPK. Każdorazowo w celu wszczęcia ponownego postępowania egzekucyjnego, analizowana jest sytuacja majątkowa zobowiązanego, przebieg poprzednich egzekucji, w tym zastosowane skuteczne środki egzekucyjne. Działania komórki SEW-1 zostały skoncentrowane na poszukiwaniu majątku dłużnika w ramach zapytań do podmiotów zewnętrznych ze względu na to, że jest to informacja najbardziej aktualna, a zarazem nie jest dostępna w wewnętrznych bazach organu, w tym samym czasie co u podmiotów zewnętrznych.</w:t>
      </w:r>
    </w:p>
    <w:p>
      <w:pPr>
        <w:pStyle w:val="Style16"/>
        <w:widowControl w:val="0"/>
        <w:keepNext w:val="0"/>
        <w:keepLines w:val="0"/>
        <w:shd w:val="clear" w:color="auto" w:fill="auto"/>
        <w:bidi w:val="0"/>
        <w:jc w:val="left"/>
        <w:spacing w:before="0" w:after="0" w:line="298" w:lineRule="exact"/>
        <w:ind w:left="0" w:right="700" w:firstLine="700"/>
      </w:pPr>
      <w:r>
        <w:rPr>
          <w:lang w:val="pl-PL" w:eastAsia="pl-PL" w:bidi="pl-PL"/>
          <w:sz w:val="24"/>
          <w:szCs w:val="24"/>
          <w:w w:val="100"/>
          <w:spacing w:val="0"/>
          <w:color w:val="000000"/>
          <w:position w:val="0"/>
        </w:rPr>
        <w:t>Ponadto z wyjaśnień wynika, że po umorzeniu postępowania egzekucyjnego z powodu bezskuteczności egzekucji:</w:t>
      </w:r>
    </w:p>
    <w:p>
      <w:pPr>
        <w:pStyle w:val="Style16"/>
        <w:numPr>
          <w:ilvl w:val="0"/>
          <w:numId w:val="13"/>
        </w:numPr>
        <w:tabs>
          <w:tab w:leader="none" w:pos="562" w:val="left"/>
        </w:tabs>
        <w:widowControl w:val="0"/>
        <w:keepNext w:val="0"/>
        <w:keepLines w:val="0"/>
        <w:shd w:val="clear" w:color="auto" w:fill="auto"/>
        <w:bidi w:val="0"/>
        <w:jc w:val="both"/>
        <w:spacing w:before="0" w:after="0" w:line="274" w:lineRule="exact"/>
        <w:ind w:left="560" w:right="700" w:hanging="320"/>
      </w:pPr>
      <w:r>
        <w:rPr>
          <w:lang w:val="pl-PL" w:eastAsia="pl-PL" w:bidi="pl-PL"/>
          <w:sz w:val="24"/>
          <w:szCs w:val="24"/>
          <w:w w:val="100"/>
          <w:spacing w:val="0"/>
          <w:color w:val="000000"/>
          <w:position w:val="0"/>
        </w:rPr>
        <w:t>Otrzymane postanowienia o umorzeniu postępowania egzekucyjnego z powodu bezskuteczności podlegają rejestracji w systemie ewidencyjnym i zakładane są akta podatnika, do których wpinane są wszystkie informacje związane z poszukiwaniem majątku; dodatkowo w przypadku otrzymania postanowienia w powyższym zakresie od innego organu egzekucyjnego, kserokopia postanowienia przekazywana jest do komórki SEW-3.</w:t>
      </w:r>
    </w:p>
    <w:p>
      <w:pPr>
        <w:pStyle w:val="Style16"/>
        <w:numPr>
          <w:ilvl w:val="0"/>
          <w:numId w:val="13"/>
        </w:numPr>
        <w:tabs>
          <w:tab w:leader="none" w:pos="562" w:val="left"/>
        </w:tabs>
        <w:widowControl w:val="0"/>
        <w:keepNext w:val="0"/>
        <w:keepLines w:val="0"/>
        <w:shd w:val="clear" w:color="auto" w:fill="auto"/>
        <w:bidi w:val="0"/>
        <w:jc w:val="both"/>
        <w:spacing w:before="0" w:after="0" w:line="302" w:lineRule="exact"/>
        <w:ind w:left="560" w:right="700" w:hanging="320"/>
      </w:pPr>
      <w:r>
        <w:rPr>
          <w:lang w:val="pl-PL" w:eastAsia="pl-PL" w:bidi="pl-PL"/>
          <w:sz w:val="24"/>
          <w:szCs w:val="24"/>
          <w:w w:val="100"/>
          <w:spacing w:val="0"/>
          <w:color w:val="000000"/>
          <w:position w:val="0"/>
        </w:rPr>
        <w:t>Po upływie roku od umorzenia postępowania egzekucyjnego ze względu na bezskuteczność egzekucji poszukiwany jest majątek:</w:t>
      </w:r>
    </w:p>
    <w:p>
      <w:pPr>
        <w:pStyle w:val="Style16"/>
        <w:widowControl w:val="0"/>
        <w:keepNext w:val="0"/>
        <w:keepLines w:val="0"/>
        <w:shd w:val="clear" w:color="auto" w:fill="auto"/>
        <w:bidi w:val="0"/>
        <w:jc w:val="both"/>
        <w:spacing w:before="0" w:after="0" w:line="274" w:lineRule="exact"/>
        <w:ind w:left="1160" w:right="0" w:firstLine="0"/>
      </w:pPr>
      <w:r>
        <w:rPr>
          <w:lang w:val="pl-PL" w:eastAsia="pl-PL" w:bidi="pl-PL"/>
          <w:sz w:val="24"/>
          <w:szCs w:val="24"/>
          <w:w w:val="100"/>
          <w:spacing w:val="0"/>
          <w:color w:val="000000"/>
          <w:position w:val="0"/>
        </w:rPr>
        <w:t>- dwa razy do roku sporządzane są wydruki z aplikacji e-Orus, m.in. „Karta informacji o zobowiązanym" oraz wydruki z aplikacji CZM,</w:t>
      </w:r>
    </w:p>
    <w:p>
      <w:pPr>
        <w:pStyle w:val="Style16"/>
        <w:widowControl w:val="0"/>
        <w:keepNext w:val="0"/>
        <w:keepLines w:val="0"/>
        <w:shd w:val="clear" w:color="auto" w:fill="auto"/>
        <w:bidi w:val="0"/>
        <w:jc w:val="both"/>
        <w:spacing w:before="0" w:after="0" w:line="274" w:lineRule="exact"/>
        <w:ind w:left="1160" w:right="0" w:firstLine="0"/>
      </w:pPr>
      <w:r>
        <w:rPr>
          <w:lang w:val="pl-PL" w:eastAsia="pl-PL" w:bidi="pl-PL"/>
          <w:sz w:val="24"/>
          <w:szCs w:val="24"/>
          <w:w w:val="100"/>
          <w:spacing w:val="0"/>
          <w:color w:val="000000"/>
          <w:position w:val="0"/>
        </w:rPr>
        <w:t>-jeden raz do roku sprawdzana jest aplikacja CEPIK, CEKWIH oraz kierowane są pisma do CRU,</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Jeżeli zachodzi potrzeba, kierowane jest pismo do pracodawcy w celu uzyskania informacji o wysokości wynagrodzenia.</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przypadku, gdy adres zamieszkania podatnika wskazuje na inną właściwość miejscową, kierowane jest pismo do odpowiedniego urzędu o podanie informacji o składanych deklaracjach/zeznaniach oraz czy podatnik figuruje w systemie CZM.</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przypadku ustalenia pojazdu sprawdzana jest jego wartość celem rozstrzygnięcia zasadności ustanowienia zastawu skarbowego, a także wystawienia tytułu wykonawczego celem prowadzenia egzekucji z ustalonego majątku przewyższającego wydatki egzekucyjne.</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Kierowane są pisma do spółdzielni mieszkaniowej czy właścicielem mieszkania, w którym zamieszkuje dłużnik jest podatnik posiadający zaległości podatkowe.</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uzasadnionych przypadkach kierowane są pisma do zakładu energetycznego oraz gazowni z pytaniem na kogo założony jest licznik, jak również, kto opłaca rachunki oraz z jakiego rachunku dokonywane są płatności.</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Do dłużników kierowane są zawiadomienia o zagrożeniu ujawnieniem należności pieniężnych w Rejestrze Należności Publicznoprawnych.</w:t>
      </w:r>
    </w:p>
    <w:p>
      <w:pPr>
        <w:pStyle w:val="Style16"/>
        <w:numPr>
          <w:ilvl w:val="0"/>
          <w:numId w:val="13"/>
        </w:numPr>
        <w:tabs>
          <w:tab w:leader="none" w:pos="1142"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oparciu o zbiorcze wykazy dłużników sprawdzane są pliki JPK, złożone przez podatników za ostanie 6 miesięcy; w przypadku ustalenia wierzytelności i czynnych tytułów podatkowych, informacja o ustalonej wierzytelności przekazywana jest do komórki egzekucyjnej.</w:t>
      </w:r>
    </w:p>
    <w:p>
      <w:pPr>
        <w:pStyle w:val="Style16"/>
        <w:numPr>
          <w:ilvl w:val="0"/>
          <w:numId w:val="13"/>
        </w:numPr>
        <w:tabs>
          <w:tab w:leader="none" w:pos="1194"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przypadku ustalenia nieruchomości lub gdy postępowanie egzekucyjne zostało umorzone ze względu na wartość nieruchomości i wysokość obciążeń hipotecznych, sprawdzany jest rodzaj nieruchomości oraz kierowane są pisma do wierzycieli hipotecznych o podanie aktualnej wysokości obciążenia hipotecznego, wymagalnej kwoty.</w:t>
      </w:r>
    </w:p>
    <w:p>
      <w:pPr>
        <w:pStyle w:val="Style16"/>
        <w:numPr>
          <w:ilvl w:val="0"/>
          <w:numId w:val="13"/>
        </w:numPr>
        <w:tabs>
          <w:tab w:leader="none" w:pos="1199" w:val="left"/>
        </w:tabs>
        <w:widowControl w:val="0"/>
        <w:keepNext w:val="0"/>
        <w:keepLines w:val="0"/>
        <w:shd w:val="clear" w:color="auto" w:fill="auto"/>
        <w:bidi w:val="0"/>
        <w:jc w:val="both"/>
        <w:spacing w:before="0" w:after="0" w:line="274" w:lineRule="exact"/>
        <w:ind w:left="1160" w:right="0" w:hanging="360"/>
      </w:pPr>
      <w:r>
        <w:rPr>
          <w:lang w:val="pl-PL" w:eastAsia="pl-PL" w:bidi="pl-PL"/>
          <w:sz w:val="24"/>
          <w:szCs w:val="24"/>
          <w:w w:val="100"/>
          <w:spacing w:val="0"/>
          <w:color w:val="000000"/>
          <w:position w:val="0"/>
        </w:rPr>
        <w:t>W przypadku ustalenia nieruchomości stanowiącej współwłasność małżonków, w uzasadnionych przypadkach sprawdzane jest, czy pomiędzy małżonkami nie została zniesiona wspólność majątkowa poprzez orzeczenie rozwodu; w tym celu kierowane jest pismo o przesłanie odpisu aktu małżeństwa z adnotacją o rozwodzie; w przypadku pozyskania pozytywnej informacji, kierowane jest pismo do sądu o przesłanie postanowienia o rozwodzie, które jest podstawą do naniesienia zmian w księgach wieczystych i rozstrzygnięcia o celowości i zasadności wystawienia tytułów wykonawczych do prowadzenia egzekucji z udziałów w nieruchomości.</w:t>
      </w:r>
    </w:p>
    <w:p>
      <w:pPr>
        <w:pStyle w:val="Style16"/>
        <w:numPr>
          <w:ilvl w:val="0"/>
          <w:numId w:val="13"/>
        </w:numPr>
        <w:tabs>
          <w:tab w:leader="none" w:pos="1199" w:val="left"/>
        </w:tabs>
        <w:widowControl w:val="0"/>
        <w:keepNext w:val="0"/>
        <w:keepLines w:val="0"/>
        <w:shd w:val="clear" w:color="auto" w:fill="auto"/>
        <w:bidi w:val="0"/>
        <w:jc w:val="both"/>
        <w:spacing w:before="0" w:after="233" w:line="274" w:lineRule="exact"/>
        <w:ind w:left="1160" w:right="0" w:hanging="360"/>
      </w:pPr>
      <w:r>
        <w:rPr>
          <w:lang w:val="pl-PL" w:eastAsia="pl-PL" w:bidi="pl-PL"/>
          <w:sz w:val="24"/>
          <w:szCs w:val="24"/>
          <w:w w:val="100"/>
          <w:spacing w:val="0"/>
          <w:color w:val="000000"/>
          <w:position w:val="0"/>
        </w:rPr>
        <w:t>Kierowane są również pisma do organów egzekucyjnych figurujących w dziale III księgi wieczystej o aktualność zawartych tam wpisów, a w przypadku sprzedaży nieruchomości przez inny organ egzekucyjny, przeprowadzana jest analiza w zakresie uczestnictwa wierzyciela w planie podziału kwoty uzyskanej ze sprzedaży nieruchomości.</w:t>
      </w:r>
    </w:p>
    <w:p>
      <w:pPr>
        <w:pStyle w:val="Style16"/>
        <w:widowControl w:val="0"/>
        <w:keepNext w:val="0"/>
        <w:keepLines w:val="0"/>
        <w:shd w:val="clear" w:color="auto" w:fill="auto"/>
        <w:bidi w:val="0"/>
        <w:jc w:val="right"/>
        <w:spacing w:before="0" w:after="0" w:line="283" w:lineRule="exact"/>
        <w:ind w:left="0" w:right="0" w:firstLine="0"/>
      </w:pPr>
      <w:r>
        <w:rPr>
          <w:lang w:val="pl-PL" w:eastAsia="pl-PL" w:bidi="pl-PL"/>
          <w:sz w:val="24"/>
          <w:szCs w:val="24"/>
          <w:w w:val="100"/>
          <w:spacing w:val="0"/>
          <w:color w:val="000000"/>
          <w:position w:val="0"/>
        </w:rPr>
        <w:t>Dodatkowo z wyjaśnień złożonych przez Kierownika Pierwszego Referatu Spraw</w:t>
      </w:r>
    </w:p>
    <w:p>
      <w:pPr>
        <w:pStyle w:val="Style16"/>
        <w:widowControl w:val="0"/>
        <w:keepNext w:val="0"/>
        <w:keepLines w:val="0"/>
        <w:shd w:val="clear" w:color="auto" w:fill="auto"/>
        <w:bidi w:val="0"/>
        <w:jc w:val="both"/>
        <w:spacing w:before="0" w:after="0" w:line="283" w:lineRule="exact"/>
        <w:ind w:left="1160" w:right="0" w:hanging="360"/>
      </w:pPr>
      <w:r>
        <w:rPr>
          <w:lang w:val="pl-PL" w:eastAsia="pl-PL" w:bidi="pl-PL"/>
          <w:sz w:val="24"/>
          <w:szCs w:val="24"/>
          <w:w w:val="100"/>
          <w:spacing w:val="0"/>
          <w:color w:val="000000"/>
          <w:position w:val="0"/>
        </w:rPr>
        <w:t>Wierzycielskich dotyczących sposobu postępowania przy wystawianiu tytułów wykonawczych na</w:t>
      </w:r>
    </w:p>
    <w:p>
      <w:pPr>
        <w:pStyle w:val="Style16"/>
        <w:widowControl w:val="0"/>
        <w:keepNext w:val="0"/>
        <w:keepLines w:val="0"/>
        <w:shd w:val="clear" w:color="auto" w:fill="auto"/>
        <w:bidi w:val="0"/>
        <w:jc w:val="both"/>
        <w:spacing w:before="0" w:after="0" w:line="283" w:lineRule="exact"/>
        <w:ind w:left="1160" w:right="0" w:hanging="360"/>
      </w:pPr>
      <w:r>
        <w:rPr>
          <w:lang w:val="pl-PL" w:eastAsia="pl-PL" w:bidi="pl-PL"/>
          <w:sz w:val="24"/>
          <w:szCs w:val="24"/>
          <w:w w:val="100"/>
          <w:spacing w:val="0"/>
          <w:color w:val="000000"/>
          <w:position w:val="0"/>
        </w:rPr>
        <w:t>osoby trzecie wynika, że:</w:t>
      </w:r>
    </w:p>
    <w:p>
      <w:pPr>
        <w:pStyle w:val="Style16"/>
        <w:numPr>
          <w:ilvl w:val="0"/>
          <w:numId w:val="5"/>
        </w:numPr>
        <w:tabs>
          <w:tab w:leader="none" w:pos="1142" w:val="left"/>
        </w:tabs>
        <w:widowControl w:val="0"/>
        <w:keepNext w:val="0"/>
        <w:keepLines w:val="0"/>
        <w:shd w:val="clear" w:color="auto" w:fill="auto"/>
        <w:bidi w:val="0"/>
        <w:jc w:val="both"/>
        <w:spacing w:before="0" w:after="0" w:line="278" w:lineRule="exact"/>
        <w:ind w:left="1160" w:right="0" w:hanging="360"/>
      </w:pPr>
      <w:r>
        <w:rPr>
          <w:lang w:val="pl-PL" w:eastAsia="pl-PL" w:bidi="pl-PL"/>
          <w:sz w:val="24"/>
          <w:szCs w:val="24"/>
          <w:w w:val="100"/>
          <w:spacing w:val="0"/>
          <w:color w:val="000000"/>
          <w:position w:val="0"/>
        </w:rPr>
        <w:t>po otrzymaniu decyzji orzekającej o odpowiedzialności osoby trzeciej oraz informacji w jakiej dacie decyzja stała się ostateczna wystawiane jest upomnienie,</w:t>
      </w:r>
    </w:p>
    <w:p>
      <w:pPr>
        <w:pStyle w:val="Style16"/>
        <w:numPr>
          <w:ilvl w:val="0"/>
          <w:numId w:val="5"/>
        </w:numPr>
        <w:tabs>
          <w:tab w:leader="none" w:pos="1142" w:val="left"/>
        </w:tabs>
        <w:widowControl w:val="0"/>
        <w:keepNext w:val="0"/>
        <w:keepLines w:val="0"/>
        <w:shd w:val="clear" w:color="auto" w:fill="auto"/>
        <w:bidi w:val="0"/>
        <w:jc w:val="both"/>
        <w:spacing w:before="0" w:after="184" w:line="278" w:lineRule="exact"/>
        <w:ind w:left="1160" w:right="0" w:hanging="360"/>
      </w:pPr>
      <w:r>
        <w:rPr>
          <w:lang w:val="pl-PL" w:eastAsia="pl-PL" w:bidi="pl-PL"/>
          <w:sz w:val="24"/>
          <w:szCs w:val="24"/>
          <w:w w:val="100"/>
          <w:spacing w:val="0"/>
          <w:color w:val="000000"/>
          <w:position w:val="0"/>
        </w:rPr>
        <w:t>w przypadku braku zapłaty oraz po upływie terminu około 10 dni od dnia otrzymania upomnienia wystawiany jest tytuł wykonawczy, tytuł wykonawczy po podpisaniu przekazywany jest niezwłocznie do odpowiedniego organu egzekucyjnego.</w:t>
      </w:r>
    </w:p>
    <w:p>
      <w:pPr>
        <w:pStyle w:val="Style16"/>
        <w:widowControl w:val="0"/>
        <w:keepNext w:val="0"/>
        <w:keepLines w:val="0"/>
        <w:shd w:val="clear" w:color="auto" w:fill="auto"/>
        <w:bidi w:val="0"/>
        <w:jc w:val="both"/>
        <w:spacing w:before="0" w:after="87" w:line="274" w:lineRule="exact"/>
        <w:ind w:left="740" w:right="0" w:firstLine="0"/>
      </w:pPr>
      <w:r>
        <w:rPr>
          <w:lang w:val="pl-PL" w:eastAsia="pl-PL" w:bidi="pl-PL"/>
          <w:sz w:val="24"/>
          <w:szCs w:val="24"/>
          <w:w w:val="100"/>
          <w:spacing w:val="0"/>
          <w:color w:val="000000"/>
          <w:position w:val="0"/>
        </w:rPr>
        <w:t>Zatem w wyniku dokonanych ustaleń, uznać należy, że Urząd Skarbowy w Gorzowie Wlkp. realizuje zadania wskazane w „Wytycznych dotyczących zarządzania zaległościami podatkowymi w urzędzie skarbowym” w zakresie poszukiwania majątku zobowiązanego, we właściwy sposób, a funkcjonowanie jednostki w przedmiotowym obszarze nie budzi zastrzeżeń.</w:t>
      </w:r>
    </w:p>
    <w:p>
      <w:pPr>
        <w:pStyle w:val="Style16"/>
        <w:widowControl w:val="0"/>
        <w:keepNext w:val="0"/>
        <w:keepLines w:val="0"/>
        <w:shd w:val="clear" w:color="auto" w:fill="auto"/>
        <w:bidi w:val="0"/>
        <w:jc w:val="both"/>
        <w:spacing w:before="0" w:after="288" w:line="240" w:lineRule="exact"/>
        <w:ind w:left="740" w:right="0" w:firstLine="0"/>
      </w:pPr>
      <w:r>
        <w:rPr>
          <w:lang w:val="pl-PL" w:eastAsia="pl-PL" w:bidi="pl-PL"/>
          <w:sz w:val="24"/>
          <w:szCs w:val="24"/>
          <w:w w:val="100"/>
          <w:spacing w:val="0"/>
          <w:color w:val="000000"/>
          <w:position w:val="0"/>
        </w:rPr>
        <w:t>W kontrolowanym obszarze nie stwierdzono uchybień i nieprawidłowości.</w:t>
      </w:r>
    </w:p>
    <w:p>
      <w:pPr>
        <w:pStyle w:val="Style19"/>
        <w:numPr>
          <w:ilvl w:val="0"/>
          <w:numId w:val="1"/>
        </w:numPr>
        <w:tabs>
          <w:tab w:leader="none" w:pos="1043" w:val="left"/>
        </w:tabs>
        <w:widowControl w:val="0"/>
        <w:keepNext/>
        <w:keepLines/>
        <w:shd w:val="clear" w:color="auto" w:fill="auto"/>
        <w:bidi w:val="0"/>
        <w:jc w:val="both"/>
        <w:spacing w:before="0" w:after="86" w:line="240" w:lineRule="exact"/>
        <w:ind w:left="740" w:right="0" w:firstLine="0"/>
      </w:pPr>
      <w:bookmarkStart w:id="5" w:name="bookmark5"/>
      <w:r>
        <w:rPr>
          <w:lang w:val="pl-PL" w:eastAsia="pl-PL" w:bidi="pl-PL"/>
          <w:sz w:val="24"/>
          <w:szCs w:val="24"/>
          <w:w w:val="100"/>
          <w:spacing w:val="0"/>
          <w:color w:val="000000"/>
          <w:position w:val="0"/>
        </w:rPr>
        <w:t>Składanie wniosków o dokonanie wpisu w Krajowym Rejestrze Sądowym</w:t>
      </w:r>
      <w:bookmarkEnd w:id="5"/>
    </w:p>
    <w:p>
      <w:pPr>
        <w:pStyle w:val="Style16"/>
        <w:widowControl w:val="0"/>
        <w:keepNext w:val="0"/>
        <w:keepLines w:val="0"/>
        <w:shd w:val="clear" w:color="auto" w:fill="auto"/>
        <w:bidi w:val="0"/>
        <w:jc w:val="both"/>
        <w:spacing w:before="0" w:after="0" w:line="274" w:lineRule="exact"/>
        <w:ind w:left="740" w:right="0" w:firstLine="280"/>
      </w:pPr>
      <w:r>
        <w:rPr>
          <w:lang w:val="pl-PL" w:eastAsia="pl-PL" w:bidi="pl-PL"/>
          <w:sz w:val="24"/>
          <w:szCs w:val="24"/>
          <w:w w:val="100"/>
          <w:spacing w:val="0"/>
          <w:color w:val="000000"/>
          <w:position w:val="0"/>
        </w:rPr>
        <w:t>W art. 56 ustawy o Krajowym Rejestrze Sądowym określono, że na wniosek wierzyciela posiadającego tytuł wykonawczy wystawiony przeciwko osobie fizycznej wpisuje się do rejestru dłużników niewypłacalnych dłużnika, który w terminie 30 dni od daty wezwania do spełnienia świadczenia nie zapłacił należności stwierdzonej tytułem wykonawczym.</w:t>
      </w:r>
    </w:p>
    <w:p>
      <w:pPr>
        <w:pStyle w:val="Style16"/>
        <w:widowControl w:val="0"/>
        <w:keepNext w:val="0"/>
        <w:keepLines w:val="0"/>
        <w:shd w:val="clear" w:color="auto" w:fill="auto"/>
        <w:bidi w:val="0"/>
        <w:jc w:val="both"/>
        <w:spacing w:before="0" w:after="0" w:line="274" w:lineRule="exact"/>
        <w:ind w:left="740" w:right="0" w:firstLine="0"/>
      </w:pPr>
      <w:r>
        <w:rPr>
          <w:lang w:val="pl-PL" w:eastAsia="pl-PL" w:bidi="pl-PL"/>
          <w:sz w:val="24"/>
          <w:szCs w:val="24"/>
          <w:w w:val="100"/>
          <w:spacing w:val="0"/>
          <w:color w:val="000000"/>
          <w:position w:val="0"/>
        </w:rPr>
        <w:t>Wobec uchylenia ww. przepisu z dniem 15 marca 2018 r. ustawą z dnia 26 lutego 2018 r. o zmianie ustawy o Krajowym Rejestrze Sądowym oraz niektórych innych ustaw (Dz.U. z 2018 r., poz. 398 ze zm.), komórki spraw wierzycielskich miały obowiązek realizować ww. zadanie jedynie do dnia 15 marca 2018 r.</w:t>
      </w:r>
    </w:p>
    <w:p>
      <w:pPr>
        <w:pStyle w:val="Style16"/>
        <w:widowControl w:val="0"/>
        <w:keepNext w:val="0"/>
        <w:keepLines w:val="0"/>
        <w:shd w:val="clear" w:color="auto" w:fill="auto"/>
        <w:bidi w:val="0"/>
        <w:jc w:val="both"/>
        <w:spacing w:before="0" w:after="180" w:line="274" w:lineRule="exact"/>
        <w:ind w:left="740" w:right="0" w:firstLine="0"/>
      </w:pPr>
      <w:r>
        <w:rPr>
          <w:lang w:val="pl-PL" w:eastAsia="pl-PL" w:bidi="pl-PL"/>
          <w:sz w:val="24"/>
          <w:szCs w:val="24"/>
          <w:w w:val="100"/>
          <w:spacing w:val="0"/>
          <w:color w:val="000000"/>
          <w:position w:val="0"/>
        </w:rPr>
        <w:t>Zgodnie z informacją Kierownika SEW-1 w okresie od 1 stycznia do 15 marca 2018 r. nie były składane wnioski do Krajowego Rejestru Sądowego o dokonanie wpisów w Rejestrze Dłużników Niewypłacalnych. Z wyjaśnień wynika, że zadanie w poprzednich latach było realizowane w III i IV kwartale roku, z uwagi na obciążenie pracowników komórki akcją zeznań w I i II kwartale roku. W 2018 r. wobec uchylenia ww. przepisów z dniem 15 marca 2018 r. brak było możliwości skierowania ww. wniosków w III i IV kwartale roku.</w:t>
      </w:r>
    </w:p>
    <w:p>
      <w:pPr>
        <w:pStyle w:val="Style16"/>
        <w:widowControl w:val="0"/>
        <w:keepNext w:val="0"/>
        <w:keepLines w:val="0"/>
        <w:shd w:val="clear" w:color="auto" w:fill="auto"/>
        <w:bidi w:val="0"/>
        <w:jc w:val="both"/>
        <w:spacing w:before="0" w:after="207" w:line="274" w:lineRule="exact"/>
        <w:ind w:left="740" w:right="0" w:firstLine="0"/>
      </w:pPr>
      <w:r>
        <w:rPr>
          <w:lang w:val="pl-PL" w:eastAsia="pl-PL" w:bidi="pl-PL"/>
          <w:sz w:val="24"/>
          <w:szCs w:val="24"/>
          <w:w w:val="100"/>
          <w:spacing w:val="0"/>
          <w:color w:val="000000"/>
          <w:position w:val="0"/>
        </w:rPr>
        <w:t>W odniesieniu do powyższego ustalono, że ani ustawodawca w art. 56 ustawy o Krajowym Rejestrze Sądowym, ani Minister Finansów w Statucie Urzędu Skarbowego nie określił terminu, w jakim ww. wnioski winny być składane do Sądu. Uchylenie przez ustawodawcę z dniem 15 marca 2018 r. przepisu art. 56 stanowiącego podstawę prawną dokonania przez Sąd wpisów do Rejestru Dłużników Niewypłacalnych uniemożliwiło wykonanie ww. zadania w późniejszym okresie 2018 r. w odniesieniu do podmiotów, które spełniły warunek umieszczenia ich w ww. Rejestrze.</w:t>
      </w:r>
    </w:p>
    <w:p>
      <w:pPr>
        <w:pStyle w:val="Style16"/>
        <w:widowControl w:val="0"/>
        <w:keepNext w:val="0"/>
        <w:keepLines w:val="0"/>
        <w:shd w:val="clear" w:color="auto" w:fill="auto"/>
        <w:bidi w:val="0"/>
        <w:jc w:val="both"/>
        <w:spacing w:before="0" w:after="0" w:line="240" w:lineRule="exact"/>
        <w:ind w:left="740" w:right="0" w:firstLine="0"/>
      </w:pPr>
      <w:r>
        <w:rPr>
          <w:lang w:val="pl-PL" w:eastAsia="pl-PL" w:bidi="pl-PL"/>
          <w:sz w:val="24"/>
          <w:szCs w:val="24"/>
          <w:w w:val="100"/>
          <w:spacing w:val="0"/>
          <w:color w:val="000000"/>
          <w:position w:val="0"/>
        </w:rPr>
        <w:t>W kontrolowanym obszarze nie stwierdzono nieprawidłowości ani uchybień.</w:t>
      </w:r>
    </w:p>
    <w:p>
      <w:pPr>
        <w:pStyle w:val="Style21"/>
        <w:widowControl w:val="0"/>
        <w:keepNext w:val="0"/>
        <w:keepLines w:val="0"/>
        <w:shd w:val="clear" w:color="auto" w:fill="auto"/>
        <w:bidi w:val="0"/>
        <w:jc w:val="left"/>
        <w:spacing w:before="0" w:after="96" w:line="160" w:lineRule="exact"/>
        <w:ind w:left="8840" w:right="0" w:firstLine="0"/>
      </w:pPr>
      <w:r>
        <w:rPr>
          <w:lang w:val="pl-PL" w:eastAsia="pl-PL" w:bidi="pl-PL"/>
          <w:w w:val="100"/>
          <w:spacing w:val="0"/>
          <w:color w:val="000000"/>
          <w:position w:val="0"/>
        </w:rPr>
        <w:t>«</w:t>
      </w:r>
    </w:p>
    <w:p>
      <w:pPr>
        <w:pStyle w:val="Style19"/>
        <w:numPr>
          <w:ilvl w:val="0"/>
          <w:numId w:val="1"/>
        </w:numPr>
        <w:tabs>
          <w:tab w:leader="none" w:pos="1043" w:val="left"/>
        </w:tabs>
        <w:widowControl w:val="0"/>
        <w:keepNext/>
        <w:keepLines/>
        <w:shd w:val="clear" w:color="auto" w:fill="auto"/>
        <w:bidi w:val="0"/>
        <w:jc w:val="left"/>
        <w:spacing w:before="0" w:after="192" w:line="288" w:lineRule="exact"/>
        <w:ind w:left="1020" w:right="0" w:hanging="280"/>
      </w:pPr>
      <w:bookmarkStart w:id="6" w:name="bookmark6"/>
      <w:r>
        <w:rPr>
          <w:lang w:val="pl-PL" w:eastAsia="pl-PL" w:bidi="pl-PL"/>
          <w:sz w:val="24"/>
          <w:szCs w:val="24"/>
          <w:w w:val="100"/>
          <w:spacing w:val="0"/>
          <w:color w:val="000000"/>
          <w:position w:val="0"/>
        </w:rPr>
        <w:t>Koordynowanie oceny i analizy ryzyka dotyczących braku wykonania zobowiązań podatkowych w wyniku ich przedawnienia</w:t>
      </w:r>
      <w:bookmarkEnd w:id="6"/>
    </w:p>
    <w:p>
      <w:pPr>
        <w:pStyle w:val="Style16"/>
        <w:widowControl w:val="0"/>
        <w:keepNext w:val="0"/>
        <w:keepLines w:val="0"/>
        <w:shd w:val="clear" w:color="auto" w:fill="auto"/>
        <w:bidi w:val="0"/>
        <w:jc w:val="both"/>
        <w:spacing w:before="0" w:after="0" w:line="274" w:lineRule="exact"/>
        <w:ind w:left="740" w:right="0" w:firstLine="280"/>
      </w:pPr>
      <w:r>
        <w:rPr>
          <w:lang w:val="pl-PL" w:eastAsia="pl-PL" w:bidi="pl-PL"/>
          <w:sz w:val="24"/>
          <w:szCs w:val="24"/>
          <w:w w:val="100"/>
          <w:spacing w:val="0"/>
          <w:color w:val="000000"/>
          <w:position w:val="0"/>
        </w:rPr>
        <w:t xml:space="preserve">W Urzędzie Skarbowym w Gorzowie Wlkp. wprowadzono regulacje wewnętrzne dotyczące zarządzania zaległościami podatkowymi, w tym zapobiegania ich przedawnieniom. Obowiązujące od dnia 23 maja 2017 r. </w:t>
      </w:r>
      <w:r>
        <w:rPr>
          <w:rStyle w:val="CharStyle18"/>
        </w:rPr>
        <w:t>Wytyczne Nr 7/2017 w sprawie zarządzania zaległościami podatkowymi, w tym zapobiegania ich przedawnieniom</w:t>
      </w:r>
      <w:r>
        <w:rPr>
          <w:lang w:val="pl-PL" w:eastAsia="pl-PL" w:bidi="pl-PL"/>
          <w:sz w:val="24"/>
          <w:szCs w:val="24"/>
          <w:w w:val="100"/>
          <w:spacing w:val="0"/>
          <w:color w:val="000000"/>
          <w:position w:val="0"/>
        </w:rPr>
        <w:t xml:space="preserve"> określają podstawowe zasady, które obowiązani są przestrzegać wszyscy pracownicy Urzędu w trakcie wykonywania swoich obowiązków. W szczególności określają one rodzaje czynności, które winny być wykonane w celu zarządzania zaległościami oraz zapobieganiu ich przedawnieniom. Na podstawie ww. Wytycznych w Urzędzie stosuje się </w:t>
      </w:r>
      <w:r>
        <w:rPr>
          <w:rStyle w:val="CharStyle18"/>
        </w:rPr>
        <w:t>Kartę informacyjną w zakresie przedawnienia zaległości.</w:t>
      </w:r>
      <w:r>
        <w:rPr>
          <w:lang w:val="pl-PL" w:eastAsia="pl-PL" w:bidi="pl-PL"/>
          <w:sz w:val="24"/>
          <w:szCs w:val="24"/>
          <w:w w:val="100"/>
          <w:spacing w:val="0"/>
          <w:color w:val="000000"/>
          <w:position w:val="0"/>
        </w:rPr>
        <w:t xml:space="preserve"> Po zapoznaniu się z naniesionymi na karcie informacjami w zakresie podjętych przez poszczególne komórki</w:t>
      </w:r>
      <w:r>
        <w:br w:type="page"/>
      </w:r>
    </w:p>
    <w:p>
      <w:pPr>
        <w:pStyle w:val="Style16"/>
        <w:widowControl w:val="0"/>
        <w:keepNext w:val="0"/>
        <w:keepLines w:val="0"/>
        <w:shd w:val="clear" w:color="auto" w:fill="auto"/>
        <w:bidi w:val="0"/>
        <w:jc w:val="both"/>
        <w:spacing w:before="0" w:after="0" w:line="274" w:lineRule="exact"/>
        <w:ind w:left="400" w:right="380" w:firstLine="0"/>
      </w:pPr>
      <w:r>
        <w:pict>
          <v:shape id="_x0000_s1043" type="#_x0000_t75" style="position:absolute;margin-left:-32.4pt;margin-top:-84.5pt;width:100.3pt;height:71.5pt;z-index:-125829372;mso-wrap-distance-left:5.pt;mso-wrap-distance-right:5.pt;mso-position-horizontal-relative:margin" wrapcoords="0 0 21600 0 21600 21600 0 21600 0 0">
            <v:imagedata r:id="rId25" r:href="rId26"/>
            <w10:wrap type="topAndBottom" anchorx="margin"/>
          </v:shape>
        </w:pict>
      </w:r>
      <w:r>
        <w:rPr>
          <w:lang w:val="pl-PL" w:eastAsia="pl-PL" w:bidi="pl-PL"/>
          <w:sz w:val="24"/>
          <w:szCs w:val="24"/>
          <w:w w:val="100"/>
          <w:spacing w:val="0"/>
          <w:color w:val="000000"/>
          <w:position w:val="0"/>
        </w:rPr>
        <w:t>organizacyjne czynności mających na celu zapobieżenie przedawnieniu, Naczelnik Urzędu podejmuje decyzję o odpisie.</w:t>
      </w:r>
    </w:p>
    <w:p>
      <w:pPr>
        <w:pStyle w:val="Style16"/>
        <w:tabs>
          <w:tab w:leader="none" w:pos="5541" w:val="left"/>
        </w:tabs>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Z uwagi na przedawnienie, Urząd Skarbowy w Gorzowie Wlkp. odpisał w 2018 r. 2202 zaległości na łączną kwotę należności głównej</w:t>
        <w:tab/>
        <w:t>(dane na podstawie raportu z bazy WHTAX,</w:t>
      </w:r>
    </w:p>
    <w:p>
      <w:pPr>
        <w:pStyle w:val="Style16"/>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Załącznik B16 - informacja o odpisanych kwotach przedawnionych zaległości budżetu państwa, Skoroszyt 65, Arkusz 4).</w:t>
      </w:r>
    </w:p>
    <w:p>
      <w:pPr>
        <w:pStyle w:val="Style16"/>
        <w:widowControl w:val="0"/>
        <w:keepNext w:val="0"/>
        <w:keepLines w:val="0"/>
        <w:shd w:val="clear" w:color="auto" w:fill="auto"/>
        <w:bidi w:val="0"/>
        <w:jc w:val="both"/>
        <w:spacing w:before="0" w:after="0" w:line="274" w:lineRule="exact"/>
        <w:ind w:left="400" w:right="0" w:firstLine="740"/>
      </w:pPr>
      <w:r>
        <w:rPr>
          <w:lang w:val="pl-PL" w:eastAsia="pl-PL" w:bidi="pl-PL"/>
          <w:sz w:val="24"/>
          <w:szCs w:val="24"/>
          <w:w w:val="100"/>
          <w:spacing w:val="0"/>
          <w:color w:val="000000"/>
          <w:position w:val="0"/>
        </w:rPr>
        <w:t xml:space="preserve">Kontrolą objęto 7 </w:t>
      </w:r>
      <w:r>
        <w:rPr>
          <w:rStyle w:val="CharStyle18"/>
        </w:rPr>
        <w:t>Kart informacyjnych</w:t>
      </w:r>
      <w:r>
        <w:rPr>
          <w:lang w:val="pl-PL" w:eastAsia="pl-PL" w:bidi="pl-PL"/>
          <w:sz w:val="24"/>
          <w:szCs w:val="24"/>
          <w:w w:val="100"/>
          <w:spacing w:val="0"/>
          <w:color w:val="000000"/>
          <w:position w:val="0"/>
        </w:rPr>
        <w:t xml:space="preserve"> dot. 6 podatników (NIP:.</w:t>
      </w:r>
    </w:p>
    <w:p>
      <w:pPr>
        <w:pStyle w:val="Style16"/>
        <w:widowControl w:val="0"/>
        <w:keepNext w:val="0"/>
        <w:keepLines w:val="0"/>
        <w:shd w:val="clear" w:color="auto" w:fill="auto"/>
        <w:bidi w:val="0"/>
        <w:jc w:val="both"/>
        <w:spacing w:before="0" w:after="0" w:line="274" w:lineRule="exact"/>
        <w:ind w:left="400" w:right="380" w:firstLine="5900"/>
      </w:pPr>
      <w:r>
        <w:rPr>
          <w:lang w:val="pl-PL" w:eastAsia="pl-PL" w:bidi="pl-PL"/>
          <w:sz w:val="24"/>
          <w:szCs w:val="24"/>
          <w:w w:val="100"/>
          <w:spacing w:val="0"/>
          <w:color w:val="000000"/>
          <w:position w:val="0"/>
        </w:rPr>
        <w:t>z największymi przedawnionymi zobowiązaniami odpisanymi z ewidencji w 2018 r. Na podstawie analizy kontrolowanych zaległości ustalono, iż główną przyczyną przedawniania się zobowiązań podatkowych był brak możliwości dochodzenia należności z uwagi na brak majątku podatników i wyczerpanie możliwości egzekwowania tych zaległości. Czynności podjęte przez kontrolowany Urząd w celu zapobieżenia przedawnieniom, znajdują odzwierciedlenie w zapisach dokonanych na karcie informacyjnej w zakresie przedawnienia zaległości. Zapisy są zgodne z dokumentami, na podstawie których dokonano wskazanych zapisów.</w:t>
      </w:r>
    </w:p>
    <w:p>
      <w:pPr>
        <w:pStyle w:val="Style16"/>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Dane o podatnikach i ich majątku pozyskiwane były z baz informatycznych Urzędu, tj. POLTAX, POLTAX2B, CZM, e-ORUS, KONTROLA, JPK, a także z innych instytucji (CEPiK, MS - Centralna Informacja o Zastawach Rejestrowych, Krajowego Rejestru Sądowego oraz Ksiąg Wieczystych, Starostwo Powiatowe, ZUS), do których kierowane były zapytania. Ponadto dla zabezpieczenia wykonania zobowiązań podatkowych urząd wykorzystywał dane o majątku zebrane w trakcie postępowań podatkowych w zakresie ulg w spłacie zobowiązań oraz kontroli podatkowych. W przypadku informacji o braku majątku podatnika na podstawie powyższych zapytań, kierowany był wniosek do właściwego Sądu Rejonowego o wyjawienie majątku, z którego można prowadzić egzekucję administracyjną. Na podstawie zebranych informacji podejmowane były decyzje o ustanowieniu zastawu skarbowego i dokonaniu wpisu hipoteki przymusowej. Natomiast w przypadkach zastosowania skutecznych środków egzekucyjnych przerywających bieg terminu przedawnienia, nie uzyskano kwot na poczet spłat całości należności.</w:t>
      </w:r>
    </w:p>
    <w:p>
      <w:pPr>
        <w:pStyle w:val="Style16"/>
        <w:widowControl w:val="0"/>
        <w:keepNext w:val="0"/>
        <w:keepLines w:val="0"/>
        <w:shd w:val="clear" w:color="auto" w:fill="auto"/>
        <w:bidi w:val="0"/>
        <w:jc w:val="both"/>
        <w:spacing w:before="0" w:after="0" w:line="274" w:lineRule="exact"/>
        <w:ind w:left="400" w:right="540" w:firstLine="0"/>
      </w:pPr>
      <w:r>
        <w:rPr>
          <w:lang w:val="pl-PL" w:eastAsia="pl-PL" w:bidi="pl-PL"/>
          <w:sz w:val="24"/>
          <w:szCs w:val="24"/>
          <w:w w:val="100"/>
          <w:spacing w:val="0"/>
          <w:color w:val="000000"/>
          <w:position w:val="0"/>
        </w:rPr>
        <w:t>W kontrolowanych sprawach nie stwierdzono odpisania zaległości bez dokonania analizy stanu faktycznego w kontekście zasadności wszczęcia postępowania i wydania decyzji w przedmiocie orzeczenia odpowiedzialności podatkowej osób trzecich.</w:t>
      </w:r>
    </w:p>
    <w:p>
      <w:pPr>
        <w:pStyle w:val="Style16"/>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 xml:space="preserve">Jednocześnie </w:t>
      </w:r>
      <w:r>
        <w:rPr>
          <w:rStyle w:val="CharStyle18"/>
        </w:rPr>
        <w:t>Karty informacyjne</w:t>
      </w:r>
      <w:r>
        <w:rPr>
          <w:lang w:val="pl-PL" w:eastAsia="pl-PL" w:bidi="pl-PL"/>
          <w:sz w:val="24"/>
          <w:szCs w:val="24"/>
          <w:w w:val="100"/>
          <w:spacing w:val="0"/>
          <w:color w:val="000000"/>
          <w:position w:val="0"/>
        </w:rPr>
        <w:t xml:space="preserve"> objęte kontrolą zawierają wpisy dokonane na podstawie załączonych dokumentów, z których jednoznacznie wynika, jakie okoliczności faktyczne przesądziły o dokonanych odpisach przedawnionych zaległości podatkowych.</w:t>
      </w:r>
    </w:p>
    <w:p>
      <w:pPr>
        <w:pStyle w:val="Style16"/>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W żadnej z kontrolowanych spraw Naczelnik Urzędu nie występował do komisji ds. oceny przedawnień zaległości rozstrzygającej o stopniu przyczynienia się osób do przedawnienia zobowiązania. Po zapoznaniu się z naniesionymi na karcie informacjami podejmował decyzję o odpisie.</w:t>
      </w:r>
    </w:p>
    <w:p>
      <w:pPr>
        <w:pStyle w:val="Style16"/>
        <w:widowControl w:val="0"/>
        <w:keepNext w:val="0"/>
        <w:keepLines w:val="0"/>
        <w:shd w:val="clear" w:color="auto" w:fill="auto"/>
        <w:bidi w:val="0"/>
        <w:jc w:val="both"/>
        <w:spacing w:before="0" w:after="0" w:line="274" w:lineRule="exact"/>
        <w:ind w:left="400" w:right="380" w:firstLine="740"/>
      </w:pPr>
      <w:r>
        <w:rPr>
          <w:lang w:val="pl-PL" w:eastAsia="pl-PL" w:bidi="pl-PL"/>
          <w:sz w:val="24"/>
          <w:szCs w:val="24"/>
          <w:w w:val="100"/>
          <w:spacing w:val="0"/>
          <w:color w:val="000000"/>
          <w:position w:val="0"/>
        </w:rPr>
        <w:t>W trakcie kontroli nie stwierdzono, by sposób postępowania w zakresie oceny braku wykonania zobowiązań podatkowych w wyniku ich przedawnienia był działaniem niezgodnym z zaleceniami zawartymi w Wytycznych nr 7/17 Naczelnika Urzędu Skarbowego w Gorzowie Wielkopolskim z dnia 23 maja 2017 r. w sprawie zarządzania zaległościami podatkowymi, w tym zapobiegania ich przedawnieniom.</w:t>
      </w:r>
    </w:p>
    <w:p>
      <w:pPr>
        <w:pStyle w:val="Style16"/>
        <w:widowControl w:val="0"/>
        <w:keepNext w:val="0"/>
        <w:keepLines w:val="0"/>
        <w:shd w:val="clear" w:color="auto" w:fill="auto"/>
        <w:bidi w:val="0"/>
        <w:jc w:val="both"/>
        <w:spacing w:before="0" w:after="0" w:line="274" w:lineRule="exact"/>
        <w:ind w:left="400" w:right="380" w:firstLine="740"/>
      </w:pPr>
      <w:r>
        <w:rPr>
          <w:lang w:val="pl-PL" w:eastAsia="pl-PL" w:bidi="pl-PL"/>
          <w:sz w:val="24"/>
          <w:szCs w:val="24"/>
          <w:w w:val="100"/>
          <w:spacing w:val="0"/>
          <w:color w:val="000000"/>
          <w:position w:val="0"/>
        </w:rPr>
        <w:t>W toku kontroli dokonano również analizy zaległości nieodpisanych, w których termin przedawnienia upłynął oraz zweryfikowano przyczyny braku dokonania odpisu zaległości.</w:t>
      </w:r>
    </w:p>
    <w:p>
      <w:pPr>
        <w:pStyle w:val="Style16"/>
        <w:widowControl w:val="0"/>
        <w:keepNext w:val="0"/>
        <w:keepLines w:val="0"/>
        <w:shd w:val="clear" w:color="auto" w:fill="auto"/>
        <w:bidi w:val="0"/>
        <w:jc w:val="both"/>
        <w:spacing w:before="0" w:after="0" w:line="274" w:lineRule="exact"/>
        <w:ind w:left="400" w:right="380" w:firstLine="0"/>
      </w:pPr>
      <w:r>
        <w:rPr>
          <w:lang w:val="pl-PL" w:eastAsia="pl-PL" w:bidi="pl-PL"/>
          <w:sz w:val="24"/>
          <w:szCs w:val="24"/>
          <w:w w:val="100"/>
          <w:spacing w:val="0"/>
          <w:color w:val="000000"/>
          <w:position w:val="0"/>
        </w:rPr>
        <w:t>Z raportu wygenerowanego z hurtowni danych WHTAX (Skoroszyt: 83 Arkusz 16 - Mierniki monitorujące - 2013 Miernik RP.OZP - Wskaźnik zaległości wymagalnych przedawnionych - szczegóły na poziomie US) wynika, że wg stanu danych na dzień 31.12.2018 r. nieodpisana została</w:t>
      </w:r>
      <w:r>
        <w:br w:type="page"/>
      </w:r>
    </w:p>
    <w:p>
      <w:pPr>
        <w:pStyle w:val="Style16"/>
        <w:widowControl w:val="0"/>
        <w:keepNext w:val="0"/>
        <w:keepLines w:val="0"/>
        <w:shd w:val="clear" w:color="auto" w:fill="auto"/>
        <w:bidi w:val="0"/>
        <w:jc w:val="left"/>
        <w:spacing w:before="0" w:after="86" w:line="240" w:lineRule="exact"/>
        <w:ind w:left="360" w:right="0" w:hanging="360"/>
      </w:pPr>
      <w:r>
        <w:pict>
          <v:shape id="_x0000_s1044" type="#_x0000_t202" style="position:absolute;margin-left:320.3pt;margin-top:-43.2pt;width:160.8pt;height:15.1pt;z-index:-125829371;mso-wrap-distance-left:5.pt;mso-wrap-distance-right:5.pt;mso-position-horizontal-relative:margin" filled="f" stroked="f">
            <v:textbox style="mso-fit-shape-to-text:t" inset="0,0,0,0">
              <w:txbxContent>
                <w:p>
                  <w:pPr>
                    <w:pStyle w:val="Style16"/>
                    <w:widowControl w:val="0"/>
                    <w:keepNext w:val="0"/>
                    <w:keepLines w:val="0"/>
                    <w:shd w:val="clear" w:color="auto" w:fill="auto"/>
                    <w:bidi w:val="0"/>
                    <w:jc w:val="left"/>
                    <w:spacing w:before="0" w:after="0" w:line="240" w:lineRule="exact"/>
                    <w:ind w:left="0" w:right="0" w:firstLine="0"/>
                  </w:pPr>
                  <w:r>
                    <w:rPr>
                      <w:rStyle w:val="CharStyle25"/>
                    </w:rPr>
                    <w:t>dla której termin przedawnienia</w:t>
                  </w:r>
                </w:p>
              </w:txbxContent>
            </v:textbox>
            <w10:wrap type="square" side="left" anchorx="margin"/>
          </v:shape>
        </w:pict>
      </w:r>
      <w:r>
        <w:pict>
          <v:shape id="_x0000_s1045" type="#_x0000_t202" style="position:absolute;margin-left:8.75pt;margin-top:-45.pt;width:107.3pt;height:30.pt;z-index:-125829370;mso-wrap-distance-left:5.pt;mso-wrap-distance-right:204.25pt;mso-position-horizontal-relative:margin" filled="f" stroked="f">
            <v:textbox style="mso-fit-shape-to-text:t" inset="0,0,0,0">
              <w:txbxContent>
                <w:p>
                  <w:pPr>
                    <w:pStyle w:val="Style16"/>
                    <w:widowControl w:val="0"/>
                    <w:keepNext w:val="0"/>
                    <w:keepLines w:val="0"/>
                    <w:shd w:val="clear" w:color="auto" w:fill="auto"/>
                    <w:bidi w:val="0"/>
                    <w:jc w:val="both"/>
                    <w:spacing w:before="0" w:after="0" w:line="274" w:lineRule="exact"/>
                    <w:ind w:left="0" w:right="0" w:firstLine="0"/>
                  </w:pPr>
                  <w:r>
                    <w:rPr>
                      <w:rStyle w:val="CharStyle25"/>
                    </w:rPr>
                    <w:t>1 zaległość na kwotę upłynął 20.09.2018 r.</w:t>
                  </w:r>
                </w:p>
              </w:txbxContent>
            </v:textbox>
            <w10:wrap type="topAndBottom" anchorx="margin"/>
          </v:shape>
        </w:pict>
      </w:r>
      <w:r>
        <w:pict>
          <v:shape id="_x0000_s1046" type="#_x0000_t202" style="position:absolute;margin-left:152.75pt;margin-top:-43.65pt;width:98.4pt;height:14.85pt;z-index:-125829369;mso-wrap-distance-left:144.25pt;mso-wrap-distance-right:69.1pt;mso-wrap-distance-bottom:13.2pt;mso-position-horizontal-relative:margin" filled="f" stroked="f">
            <v:textbox style="mso-fit-shape-to-text:t" inset="0,0,0,0">
              <w:txbxContent>
                <w:p>
                  <w:pPr>
                    <w:pStyle w:val="Style16"/>
                    <w:widowControl w:val="0"/>
                    <w:keepNext w:val="0"/>
                    <w:keepLines w:val="0"/>
                    <w:shd w:val="clear" w:color="auto" w:fill="auto"/>
                    <w:bidi w:val="0"/>
                    <w:jc w:val="left"/>
                    <w:spacing w:before="0" w:after="0" w:line="240" w:lineRule="exact"/>
                    <w:ind w:left="0" w:right="0" w:firstLine="0"/>
                  </w:pPr>
                  <w:r>
                    <w:rPr>
                      <w:rStyle w:val="CharStyle25"/>
                      <w:vertAlign w:val="superscript"/>
                    </w:rPr>
                    <w:t>!</w:t>
                  </w:r>
                  <w:r>
                    <w:rPr>
                      <w:rStyle w:val="CharStyle25"/>
                    </w:rPr>
                    <w:t>zł podatnika o NIP</w:t>
                  </w:r>
                </w:p>
              </w:txbxContent>
            </v:textbox>
            <w10:wrap type="topAndBottom" anchorx="margin"/>
          </v:shape>
        </w:pict>
      </w:r>
      <w:r>
        <w:rPr>
          <w:lang w:val="pl-PL" w:eastAsia="pl-PL" w:bidi="pl-PL"/>
          <w:sz w:val="24"/>
          <w:szCs w:val="24"/>
          <w:w w:val="100"/>
          <w:spacing w:val="0"/>
          <w:color w:val="000000"/>
          <w:position w:val="0"/>
        </w:rPr>
        <w:t>W kontrolowanym obszarze stwierdzono uchybienia i nieprawidłowości:</w:t>
      </w:r>
    </w:p>
    <w:p>
      <w:pPr>
        <w:pStyle w:val="Style16"/>
        <w:widowControl w:val="0"/>
        <w:keepNext w:val="0"/>
        <w:keepLines w:val="0"/>
        <w:shd w:val="clear" w:color="auto" w:fill="auto"/>
        <w:bidi w:val="0"/>
        <w:jc w:val="left"/>
        <w:spacing w:before="0" w:after="0" w:line="274" w:lineRule="exact"/>
        <w:ind w:left="360" w:right="0" w:hanging="360"/>
      </w:pPr>
      <w:r>
        <w:rPr>
          <w:rStyle w:val="CharStyle39"/>
        </w:rPr>
        <w:t>Uchybienia:</w:t>
      </w:r>
    </w:p>
    <w:p>
      <w:pPr>
        <w:pStyle w:val="Style16"/>
        <w:numPr>
          <w:ilvl w:val="0"/>
          <w:numId w:val="15"/>
        </w:numPr>
        <w:tabs>
          <w:tab w:leader="none" w:pos="529" w:val="left"/>
        </w:tabs>
        <w:widowControl w:val="0"/>
        <w:keepNext w:val="0"/>
        <w:keepLines w:val="0"/>
        <w:shd w:val="clear" w:color="auto" w:fill="auto"/>
        <w:bidi w:val="0"/>
        <w:jc w:val="left"/>
        <w:spacing w:before="0" w:after="87" w:line="274" w:lineRule="exact"/>
        <w:ind w:left="480" w:right="0" w:hanging="300"/>
      </w:pPr>
      <w:r>
        <w:rPr>
          <w:lang w:val="pl-PL" w:eastAsia="pl-PL" w:bidi="pl-PL"/>
          <w:sz w:val="24"/>
          <w:szCs w:val="24"/>
          <w:w w:val="100"/>
          <w:spacing w:val="0"/>
          <w:color w:val="000000"/>
          <w:position w:val="0"/>
        </w:rPr>
        <w:t>Błędne wprowadzenie daty zastosowanego środka egzekucyjnego, tj. w dniu 6.07.2013r. zamiast w dniu 08.07.2012 r. w sprawie nr-</w:t>
      </w:r>
    </w:p>
    <w:p>
      <w:pPr>
        <w:pStyle w:val="Style16"/>
        <w:widowControl w:val="0"/>
        <w:keepNext w:val="0"/>
        <w:keepLines w:val="0"/>
        <w:shd w:val="clear" w:color="auto" w:fill="auto"/>
        <w:bidi w:val="0"/>
        <w:jc w:val="left"/>
        <w:spacing w:before="0" w:after="0" w:line="240" w:lineRule="exact"/>
        <w:ind w:left="360" w:right="0" w:hanging="360"/>
      </w:pPr>
      <w:r>
        <w:rPr>
          <w:rStyle w:val="CharStyle39"/>
        </w:rPr>
        <w:t>Nieprawidłowości:</w:t>
      </w:r>
    </w:p>
    <w:p>
      <w:pPr>
        <w:pStyle w:val="Style16"/>
        <w:widowControl w:val="0"/>
        <w:keepNext w:val="0"/>
        <w:keepLines w:val="0"/>
        <w:shd w:val="clear" w:color="auto" w:fill="auto"/>
        <w:bidi w:val="0"/>
        <w:jc w:val="both"/>
        <w:spacing w:before="0" w:after="229" w:line="274" w:lineRule="exact"/>
        <w:ind w:left="0" w:right="740" w:firstLine="0"/>
      </w:pPr>
      <w:r>
        <w:rPr>
          <w:lang w:val="pl-PL" w:eastAsia="pl-PL" w:bidi="pl-PL"/>
          <w:sz w:val="24"/>
          <w:szCs w:val="24"/>
          <w:w w:val="100"/>
          <w:spacing w:val="0"/>
          <w:color w:val="000000"/>
          <w:position w:val="0"/>
        </w:rPr>
        <w:t>Wprowadzanie przez Referat Spraw Karnych Skarbowych, do programu informatycznego MRP, dat okresu zawieszenia biegu terminu przedawnienia w związku z postępowaniem w sprawie o przestępstwo skarbowe lub wykroczenie skarbowe, ze zwłoką dochodzącą do kilku lat.</w:t>
      </w:r>
    </w:p>
    <w:p>
      <w:pPr>
        <w:pStyle w:val="Style16"/>
        <w:numPr>
          <w:ilvl w:val="0"/>
          <w:numId w:val="17"/>
        </w:numPr>
        <w:tabs>
          <w:tab w:leader="none" w:pos="529" w:val="left"/>
          <w:tab w:leader="none" w:pos="3700" w:val="left"/>
        </w:tabs>
        <w:widowControl w:val="0"/>
        <w:keepNext w:val="0"/>
        <w:keepLines w:val="0"/>
        <w:shd w:val="clear" w:color="auto" w:fill="auto"/>
        <w:bidi w:val="0"/>
        <w:jc w:val="both"/>
        <w:spacing w:before="0" w:after="0" w:line="288" w:lineRule="exact"/>
        <w:ind w:left="180" w:right="0" w:firstLine="0"/>
      </w:pPr>
      <w:r>
        <w:rPr>
          <w:rStyle w:val="CharStyle39"/>
        </w:rPr>
        <w:t>Podatnik o nr NIP</w:t>
      </w:r>
      <w:r>
        <w:rPr>
          <w:lang w:val="pl-PL" w:eastAsia="pl-PL" w:bidi="pl-PL"/>
          <w:vertAlign w:val="superscript"/>
          <w:sz w:val="24"/>
          <w:szCs w:val="24"/>
          <w:w w:val="100"/>
          <w:spacing w:val="0"/>
          <w:color w:val="000000"/>
          <w:position w:val="0"/>
        </w:rPr>
        <w:t>;</w:t>
      </w:r>
      <w:r>
        <w:rPr>
          <w:lang w:val="pl-PL" w:eastAsia="pl-PL" w:bidi="pl-PL"/>
          <w:sz w:val="24"/>
          <w:szCs w:val="24"/>
          <w:w w:val="100"/>
          <w:spacing w:val="0"/>
          <w:color w:val="000000"/>
          <w:position w:val="0"/>
        </w:rPr>
        <w:tab/>
        <w:t>dotyczy zaległości w podatku od towarów i usług za 3/2010</w:t>
      </w:r>
    </w:p>
    <w:p>
      <w:pPr>
        <w:pStyle w:val="Style16"/>
        <w:widowControl w:val="0"/>
        <w:keepNext w:val="0"/>
        <w:keepLines w:val="0"/>
        <w:shd w:val="clear" w:color="auto" w:fill="auto"/>
        <w:bidi w:val="0"/>
        <w:jc w:val="both"/>
        <w:spacing w:before="0" w:after="0" w:line="288" w:lineRule="exact"/>
        <w:ind w:left="480" w:right="0" w:firstLine="0"/>
      </w:pPr>
      <w:r>
        <w:rPr>
          <w:lang w:val="pl-PL" w:eastAsia="pl-PL" w:bidi="pl-PL"/>
          <w:sz w:val="24"/>
          <w:szCs w:val="24"/>
          <w:w w:val="100"/>
          <w:spacing w:val="0"/>
          <w:color w:val="000000"/>
          <w:position w:val="0"/>
        </w:rPr>
        <w:t>w wys.-.</w:t>
      </w:r>
    </w:p>
    <w:p>
      <w:pPr>
        <w:pStyle w:val="Style16"/>
        <w:widowControl w:val="0"/>
        <w:keepNext w:val="0"/>
        <w:keepLines w:val="0"/>
        <w:shd w:val="clear" w:color="auto" w:fill="auto"/>
        <w:bidi w:val="0"/>
        <w:jc w:val="both"/>
        <w:spacing w:before="0" w:after="0"/>
        <w:ind w:left="180" w:right="0" w:firstLine="0"/>
      </w:pPr>
      <w:r>
        <w:rPr>
          <w:lang w:val="pl-PL" w:eastAsia="pl-PL" w:bidi="pl-PL"/>
          <w:sz w:val="24"/>
          <w:szCs w:val="24"/>
          <w:w w:val="100"/>
          <w:spacing w:val="0"/>
          <w:color w:val="000000"/>
          <w:position w:val="0"/>
        </w:rPr>
        <w:t xml:space="preserve">Z wyjaśnień kierownika komórki SEW-1 wynika, że zaległość ta została odpisana z tytułu przedawnienia z miesiącem styczniem (dokument ZOB-DP wprowadzony dnia 31.01.2019 r.), a ^ zaksięgowana w dniu 04.02.2019 r. Pierwotnie data przedawnienia zaległości przypadała nadzień 21.01.2019 r. Jednakże </w:t>
      </w:r>
      <w:r>
        <w:rPr>
          <w:rStyle w:val="CharStyle39"/>
        </w:rPr>
        <w:t>dopiero w dniu 29.01.2019 r.</w:t>
      </w:r>
      <w:r>
        <w:rPr>
          <w:lang w:val="pl-PL" w:eastAsia="pl-PL" w:bidi="pl-PL"/>
          <w:sz w:val="24"/>
          <w:szCs w:val="24"/>
          <w:w w:val="100"/>
          <w:spacing w:val="0"/>
          <w:color w:val="000000"/>
          <w:position w:val="0"/>
        </w:rPr>
        <w:t xml:space="preserve"> pracownik Referatu Spraw Karnych Skarbowych wprowadził do programu informatycznego MRP daty okresu zawieszenia </w:t>
      </w:r>
      <w:r>
        <w:rPr>
          <w:rStyle w:val="CharStyle39"/>
        </w:rPr>
        <w:t>(od 25.03.2013r. do 12.12.2015^1</w:t>
      </w:r>
      <w:r>
        <w:rPr>
          <w:lang w:val="pl-PL" w:eastAsia="pl-PL" w:bidi="pl-PL"/>
          <w:sz w:val="24"/>
          <w:szCs w:val="24"/>
          <w:w w:val="100"/>
          <w:spacing w:val="0"/>
          <w:color w:val="000000"/>
          <w:position w:val="0"/>
        </w:rPr>
        <w:t>. w związku z czym data przedawnienia uległa zmianie, bowiem środek egzekucyjny, od którego liczony był termin przedawnienia został zastosowany w okresie zawieszenia (tj. w dniu 22.01.2014r.) i nie miał wpływu na termin przedawnienia.</w:t>
      </w:r>
    </w:p>
    <w:p>
      <w:pPr>
        <w:pStyle w:val="Style16"/>
        <w:widowControl w:val="0"/>
        <w:keepNext w:val="0"/>
        <w:keepLines w:val="0"/>
        <w:shd w:val="clear" w:color="auto" w:fill="auto"/>
        <w:bidi w:val="0"/>
        <w:jc w:val="both"/>
        <w:spacing w:before="0" w:after="45"/>
        <w:ind w:left="180" w:right="0" w:firstLine="0"/>
      </w:pPr>
      <w:r>
        <w:rPr>
          <w:lang w:val="pl-PL" w:eastAsia="pl-PL" w:bidi="pl-PL"/>
          <w:sz w:val="24"/>
          <w:szCs w:val="24"/>
          <w:w w:val="100"/>
          <w:spacing w:val="0"/>
          <w:color w:val="000000"/>
          <w:position w:val="0"/>
        </w:rPr>
        <w:t>Wobec powyższego zaległość została niezwłocznie odpisana z karty kontowej.</w:t>
      </w:r>
    </w:p>
    <w:p>
      <w:pPr>
        <w:pStyle w:val="Style16"/>
        <w:numPr>
          <w:ilvl w:val="0"/>
          <w:numId w:val="17"/>
        </w:numPr>
        <w:tabs>
          <w:tab w:leader="none" w:pos="529" w:val="left"/>
          <w:tab w:leader="none" w:pos="3700" w:val="left"/>
        </w:tabs>
        <w:widowControl w:val="0"/>
        <w:keepNext w:val="0"/>
        <w:keepLines w:val="0"/>
        <w:shd w:val="clear" w:color="auto" w:fill="auto"/>
        <w:bidi w:val="0"/>
        <w:jc w:val="both"/>
        <w:spacing w:before="0" w:after="0" w:line="288" w:lineRule="exact"/>
        <w:ind w:left="180" w:right="0" w:firstLine="0"/>
      </w:pPr>
      <w:r>
        <w:rPr>
          <w:rStyle w:val="CharStyle39"/>
        </w:rPr>
        <w:t>Podatnik o nr</w:t>
      </w:r>
      <w:r>
        <w:rPr>
          <w:lang w:val="pl-PL" w:eastAsia="pl-PL" w:bidi="pl-PL"/>
          <w:sz w:val="24"/>
          <w:szCs w:val="24"/>
          <w:w w:val="100"/>
          <w:spacing w:val="0"/>
          <w:color w:val="000000"/>
          <w:position w:val="0"/>
        </w:rPr>
        <w:tab/>
        <w:t>- dotyczy zaległości w podatku od towarów i usług za 8/2010</w:t>
      </w:r>
    </w:p>
    <w:p>
      <w:pPr>
        <w:pStyle w:val="Style16"/>
        <w:widowControl w:val="0"/>
        <w:keepNext w:val="0"/>
        <w:keepLines w:val="0"/>
        <w:shd w:val="clear" w:color="auto" w:fill="auto"/>
        <w:bidi w:val="0"/>
        <w:jc w:val="both"/>
        <w:spacing w:before="0" w:after="0" w:line="288" w:lineRule="exact"/>
        <w:ind w:left="480" w:right="0" w:firstLine="0"/>
      </w:pPr>
      <w:r>
        <w:rPr>
          <w:lang w:val="pl-PL" w:eastAsia="pl-PL" w:bidi="pl-PL"/>
          <w:sz w:val="24"/>
          <w:szCs w:val="24"/>
          <w:w w:val="100"/>
          <w:spacing w:val="0"/>
          <w:color w:val="000000"/>
          <w:position w:val="0"/>
        </w:rPr>
        <w:t>w wys.</w:t>
      </w:r>
    </w:p>
    <w:p>
      <w:pPr>
        <w:pStyle w:val="Style16"/>
        <w:tabs>
          <w:tab w:leader="none" w:pos="8450" w:val="left"/>
        </w:tabs>
        <w:widowControl w:val="0"/>
        <w:keepNext w:val="0"/>
        <w:keepLines w:val="0"/>
        <w:shd w:val="clear" w:color="auto" w:fill="auto"/>
        <w:bidi w:val="0"/>
        <w:jc w:val="both"/>
        <w:spacing w:before="0" w:after="0"/>
        <w:ind w:left="180" w:right="740" w:firstLine="0"/>
      </w:pPr>
      <w:r>
        <w:rPr>
          <w:lang w:val="pl-PL" w:eastAsia="pl-PL" w:bidi="pl-PL"/>
          <w:sz w:val="24"/>
          <w:szCs w:val="24"/>
          <w:w w:val="100"/>
          <w:spacing w:val="0"/>
          <w:color w:val="000000"/>
          <w:position w:val="0"/>
        </w:rPr>
        <w:t>Datę zakończenia zawieszenia biegu terminu przedawnienia, tj. datę prawomocności wyroku Sądu Rejonowego w Gorzowie Wielkopolskim w sprawie sygn. akt</w:t>
        <w:tab/>
        <w:t>- z dnia 9</w:t>
      </w:r>
    </w:p>
    <w:p>
      <w:pPr>
        <w:pStyle w:val="Style16"/>
        <w:widowControl w:val="0"/>
        <w:keepNext w:val="0"/>
        <w:keepLines w:val="0"/>
        <w:shd w:val="clear" w:color="auto" w:fill="auto"/>
        <w:bidi w:val="0"/>
        <w:jc w:val="both"/>
        <w:spacing w:before="0" w:after="41"/>
        <w:ind w:left="180" w:right="0" w:firstLine="0"/>
      </w:pPr>
      <w:r>
        <w:rPr>
          <w:lang w:val="pl-PL" w:eastAsia="pl-PL" w:bidi="pl-PL"/>
          <w:sz w:val="24"/>
          <w:szCs w:val="24"/>
          <w:w w:val="100"/>
          <w:spacing w:val="0"/>
          <w:color w:val="000000"/>
          <w:position w:val="0"/>
        </w:rPr>
        <w:t>listopada 2015r. wprowadzono dopiero w dniu 9 sierpnia 2018 r.</w:t>
      </w:r>
    </w:p>
    <w:p>
      <w:pPr>
        <w:pStyle w:val="Style16"/>
        <w:numPr>
          <w:ilvl w:val="0"/>
          <w:numId w:val="17"/>
        </w:numPr>
        <w:tabs>
          <w:tab w:leader="none" w:pos="529" w:val="left"/>
          <w:tab w:leader="none" w:pos="3700" w:val="left"/>
        </w:tabs>
        <w:widowControl w:val="0"/>
        <w:keepNext w:val="0"/>
        <w:keepLines w:val="0"/>
        <w:shd w:val="clear" w:color="auto" w:fill="auto"/>
        <w:bidi w:val="0"/>
        <w:jc w:val="both"/>
        <w:spacing w:before="0" w:after="0" w:line="293" w:lineRule="exact"/>
        <w:ind w:left="180" w:right="0" w:firstLine="0"/>
      </w:pPr>
      <w:r>
        <w:rPr>
          <w:rStyle w:val="CharStyle39"/>
        </w:rPr>
        <w:t>Podatnik o nr N</w:t>
      </w:r>
      <w:r>
        <w:rPr>
          <w:lang w:val="pl-PL" w:eastAsia="pl-PL" w:bidi="pl-PL"/>
          <w:sz w:val="24"/>
          <w:szCs w:val="24"/>
          <w:w w:val="100"/>
          <w:spacing w:val="0"/>
          <w:color w:val="000000"/>
          <w:position w:val="0"/>
        </w:rPr>
        <w:t>IP</w:t>
        <w:tab/>
        <w:t>dotyczy zaległości w podatk’’ od towarów i usług za 6/2005</w:t>
      </w:r>
    </w:p>
    <w:p>
      <w:pPr>
        <w:pStyle w:val="Style16"/>
        <w:tabs>
          <w:tab w:leader="none" w:pos="2126" w:val="left"/>
        </w:tabs>
        <w:widowControl w:val="0"/>
        <w:keepNext w:val="0"/>
        <w:keepLines w:val="0"/>
        <w:shd w:val="clear" w:color="auto" w:fill="auto"/>
        <w:bidi w:val="0"/>
        <w:jc w:val="both"/>
        <w:spacing w:before="0" w:after="0" w:line="293" w:lineRule="exact"/>
        <w:ind w:left="480" w:right="0" w:firstLine="0"/>
      </w:pPr>
      <w:r>
        <w:rPr>
          <w:lang w:val="pl-PL" w:eastAsia="pl-PL" w:bidi="pl-PL"/>
          <w:sz w:val="24"/>
          <w:szCs w:val="24"/>
          <w:w w:val="100"/>
          <w:spacing w:val="0"/>
          <w:color w:val="000000"/>
          <w:position w:val="0"/>
        </w:rPr>
        <w:t>w wys</w:t>
        <w:tab/>
        <w:t>zł.</w:t>
      </w:r>
    </w:p>
    <w:p>
      <w:pPr>
        <w:pStyle w:val="Style16"/>
        <w:tabs>
          <w:tab w:leader="none" w:pos="4246" w:val="left"/>
          <w:tab w:leader="none" w:pos="6516" w:val="left"/>
        </w:tabs>
        <w:widowControl w:val="0"/>
        <w:keepNext w:val="0"/>
        <w:keepLines w:val="0"/>
        <w:shd w:val="clear" w:color="auto" w:fill="auto"/>
        <w:bidi w:val="0"/>
        <w:jc w:val="both"/>
        <w:spacing w:before="0" w:after="0" w:line="278" w:lineRule="exact"/>
        <w:ind w:left="180" w:right="740" w:firstLine="0"/>
      </w:pPr>
      <w:r>
        <w:rPr>
          <w:lang w:val="pl-PL" w:eastAsia="pl-PL" w:bidi="pl-PL"/>
          <w:sz w:val="24"/>
          <w:szCs w:val="24"/>
          <w:w w:val="100"/>
          <w:spacing w:val="0"/>
          <w:color w:val="000000"/>
          <w:position w:val="0"/>
        </w:rPr>
        <w:t>Datę zakończenia zawieszenia biegu terminu przedawnienia zobowiązania, tj. datę prawomocności postanowienia Prokuratury Rejonowej w Gorzowie Wielkopolskim o umorzeniu śledztwa w sprawie sygn. akt</w:t>
        <w:tab/>
        <w:t>z dni?</w:t>
        <w:tab/>
        <w:t>wprowadzono dopiero w dniu</w:t>
      </w:r>
    </w:p>
    <w:p>
      <w:pPr>
        <w:pStyle w:val="Style16"/>
        <w:widowControl w:val="0"/>
        <w:keepNext w:val="0"/>
        <w:keepLines w:val="0"/>
        <w:shd w:val="clear" w:color="auto" w:fill="auto"/>
        <w:bidi w:val="0"/>
        <w:jc w:val="both"/>
        <w:spacing w:before="0" w:after="356" w:line="278" w:lineRule="exact"/>
        <w:ind w:left="180" w:right="0" w:firstLine="0"/>
      </w:pPr>
      <w:r>
        <w:rPr>
          <w:lang w:val="pl-PL" w:eastAsia="pl-PL" w:bidi="pl-PL"/>
          <w:sz w:val="24"/>
          <w:szCs w:val="24"/>
          <w:w w:val="100"/>
          <w:spacing w:val="0"/>
          <w:color w:val="000000"/>
          <w:position w:val="0"/>
        </w:rPr>
        <w:t>13 sierpnia 2018 r.</w:t>
      </w:r>
    </w:p>
    <w:p>
      <w:pPr>
        <w:pStyle w:val="Style19"/>
        <w:numPr>
          <w:ilvl w:val="0"/>
          <w:numId w:val="1"/>
        </w:numPr>
        <w:tabs>
          <w:tab w:leader="none" w:pos="331" w:val="left"/>
        </w:tabs>
        <w:widowControl w:val="0"/>
        <w:keepNext/>
        <w:keepLines/>
        <w:shd w:val="clear" w:color="auto" w:fill="auto"/>
        <w:bidi w:val="0"/>
        <w:jc w:val="left"/>
        <w:spacing w:before="0" w:after="188" w:line="283" w:lineRule="exact"/>
        <w:ind w:left="360" w:right="0" w:hanging="360"/>
      </w:pPr>
      <w:bookmarkStart w:id="7" w:name="bookmark7"/>
      <w:r>
        <w:rPr>
          <w:lang w:val="pl-PL" w:eastAsia="pl-PL" w:bidi="pl-PL"/>
          <w:sz w:val="24"/>
          <w:szCs w:val="24"/>
          <w:w w:val="100"/>
          <w:spacing w:val="0"/>
          <w:color w:val="000000"/>
          <w:position w:val="0"/>
        </w:rPr>
        <w:t>Prowadzenie spraw w zakresie ulg w spłacie zobowiązań podatkowych oraz innych ulg przewidzianych przepisami prawa</w:t>
      </w:r>
      <w:bookmarkEnd w:id="7"/>
    </w:p>
    <w:p>
      <w:pPr>
        <w:pStyle w:val="Style16"/>
        <w:widowControl w:val="0"/>
        <w:keepNext w:val="0"/>
        <w:keepLines w:val="0"/>
        <w:shd w:val="clear" w:color="auto" w:fill="auto"/>
        <w:bidi w:val="0"/>
        <w:jc w:val="both"/>
        <w:spacing w:before="0" w:after="0" w:line="274" w:lineRule="exact"/>
        <w:ind w:left="0" w:right="740" w:firstLine="360"/>
      </w:pPr>
      <w:r>
        <w:rPr>
          <w:lang w:val="pl-PL" w:eastAsia="pl-PL" w:bidi="pl-PL"/>
          <w:sz w:val="24"/>
          <w:szCs w:val="24"/>
          <w:w w:val="100"/>
          <w:spacing w:val="0"/>
          <w:color w:val="000000"/>
          <w:position w:val="0"/>
        </w:rPr>
        <w:t xml:space="preserve">W Urzędzie Skarbowym w Gorzowie Wlkp. sprawami dotyczącymi ulg w spłacie zobowiązań podatkowych zajmuje się Drugi Referat Spraw' Wierzycielskich SEW-2. Bezpośredni nadzór nad komórką organizacyjną sprawuje Drugi Zastępca Naczelnika Urzędu Skarbowego w Gorzowie Wlkp. W kontrolowanym Urzędzie wprowadzono regulacje wewnętrzne dotyczące udzielania ulg w spłacie zobowiązań podatkowych. Od dnia 5 kwietnia 2017 r. obowiązują także </w:t>
      </w:r>
      <w:r>
        <w:rPr>
          <w:rStyle w:val="CharStyle18"/>
        </w:rPr>
        <w:t>Wytyczne btr 4/2017 w sprawie przyznawania ulg uznaniowych</w:t>
      </w:r>
      <w:r>
        <w:rPr>
          <w:lang w:val="pl-PL" w:eastAsia="pl-PL" w:bidi="pl-PL"/>
          <w:sz w:val="24"/>
          <w:szCs w:val="24"/>
          <w:w w:val="100"/>
          <w:spacing w:val="0"/>
          <w:color w:val="000000"/>
          <w:position w:val="0"/>
        </w:rPr>
        <w:t xml:space="preserve"> w </w:t>
      </w:r>
      <w:r>
        <w:rPr>
          <w:rStyle w:val="CharStyle18"/>
        </w:rPr>
        <w:t>spłacie zobowiązań podatkowych,</w:t>
      </w:r>
      <w:r>
        <w:rPr>
          <w:lang w:val="pl-PL" w:eastAsia="pl-PL" w:bidi="pl-PL"/>
          <w:sz w:val="24"/>
          <w:szCs w:val="24"/>
          <w:w w:val="100"/>
          <w:spacing w:val="0"/>
          <w:color w:val="000000"/>
          <w:position w:val="0"/>
        </w:rPr>
        <w:t xml:space="preserve"> które</w:t>
      </w:r>
      <w:r>
        <w:br w:type="page"/>
      </w:r>
    </w:p>
    <w:p>
      <w:pPr>
        <w:pStyle w:val="Style16"/>
        <w:widowControl w:val="0"/>
        <w:keepNext w:val="0"/>
        <w:keepLines w:val="0"/>
        <w:shd w:val="clear" w:color="auto" w:fill="auto"/>
        <w:bidi w:val="0"/>
        <w:jc w:val="left"/>
        <w:spacing w:before="0" w:after="0" w:line="274" w:lineRule="exact"/>
        <w:ind w:left="0" w:right="0" w:firstLine="0"/>
      </w:pPr>
      <w:r>
        <w:rPr>
          <w:lang w:val="pl-PL" w:eastAsia="pl-PL" w:bidi="pl-PL"/>
          <w:sz w:val="24"/>
          <w:szCs w:val="24"/>
          <w:w w:val="100"/>
          <w:spacing w:val="0"/>
          <w:color w:val="000000"/>
          <w:position w:val="0"/>
        </w:rPr>
        <w:t>określają zasady i sposób prawidłowego prowadzenia postępowania podatkowego w przedmiocie ulg uznaniowych, w tym również stanowiących pomoc publiczną.</w:t>
      </w:r>
    </w:p>
    <w:p>
      <w:pPr>
        <w:pStyle w:val="Style16"/>
        <w:widowControl w:val="0"/>
        <w:keepNext w:val="0"/>
        <w:keepLines w:val="0"/>
        <w:shd w:val="clear" w:color="auto" w:fill="auto"/>
        <w:bidi w:val="0"/>
        <w:jc w:val="left"/>
        <w:spacing w:before="0" w:after="0" w:line="274" w:lineRule="exact"/>
        <w:ind w:left="0" w:right="0" w:firstLine="0"/>
      </w:pPr>
      <w:r>
        <w:pict>
          <v:shape id="_x0000_s1047" type="#_x0000_t75" style="position:absolute;margin-left:-54.35pt;margin-top:-109.2pt;width:115.2pt;height:131.05pt;z-index:-125829368;mso-wrap-distance-left:5.pt;mso-wrap-distance-right:5.pt;mso-position-horizontal-relative:margin" wrapcoords="0 0 21600 0 21600 21600 0 21600 0 0">
            <v:imagedata r:id="rId27" r:href="rId28"/>
            <w10:wrap type="square" anchorx="margin"/>
          </v:shape>
        </w:pict>
      </w:r>
      <w:r>
        <w:rPr>
          <w:lang w:val="pl-PL" w:eastAsia="pl-PL" w:bidi="pl-PL"/>
          <w:sz w:val="24"/>
          <w:szCs w:val="24"/>
          <w:w w:val="100"/>
          <w:spacing w:val="0"/>
          <w:color w:val="000000"/>
          <w:position w:val="0"/>
        </w:rPr>
        <w:t>Wydane przez organ rozstrzygnięcia w ww. przedmiocie, ewidencjonowane są w aplikacji POLTAX oraz SZD. Dodatkowo Urząd prowadzi ewidencję decyzji, na podstawie których przyznano ulgi w spłacie zobowiązań podatkowych.</w:t>
      </w:r>
    </w:p>
    <w:p>
      <w:pPr>
        <w:pStyle w:val="Style16"/>
        <w:widowControl w:val="0"/>
        <w:keepNext w:val="0"/>
        <w:keepLines w:val="0"/>
        <w:shd w:val="clear" w:color="auto" w:fill="auto"/>
        <w:bidi w:val="0"/>
        <w:jc w:val="both"/>
        <w:spacing w:before="0" w:after="0" w:line="274" w:lineRule="exact"/>
        <w:ind w:left="320" w:right="440" w:firstLine="0"/>
      </w:pPr>
      <w:r>
        <w:rPr>
          <w:lang w:val="pl-PL" w:eastAsia="pl-PL" w:bidi="pl-PL"/>
          <w:sz w:val="24"/>
          <w:szCs w:val="24"/>
          <w:w w:val="100"/>
          <w:spacing w:val="0"/>
          <w:color w:val="000000"/>
          <w:position w:val="0"/>
        </w:rPr>
        <w:t>Z przedłożonych do kontroli ewidencji wynika, że w okresie objętym kontrolą, tj. od dnia 1 stycznia 2018 r. do dnia 31 grudnia 2018 r., Urząd wydał 151 decyzji przyznających ulgi w spłacie zobowiązań, w tym:</w:t>
      </w:r>
    </w:p>
    <w:p>
      <w:pPr>
        <w:pStyle w:val="Style16"/>
        <w:numPr>
          <w:ilvl w:val="0"/>
          <w:numId w:val="5"/>
        </w:numPr>
        <w:tabs>
          <w:tab w:leader="none" w:pos="1058" w:val="left"/>
        </w:tabs>
        <w:widowControl w:val="0"/>
        <w:keepNext w:val="0"/>
        <w:keepLines w:val="0"/>
        <w:shd w:val="clear" w:color="auto" w:fill="auto"/>
        <w:bidi w:val="0"/>
        <w:jc w:val="left"/>
        <w:spacing w:before="0" w:after="0" w:line="274" w:lineRule="exact"/>
        <w:ind w:left="1040" w:right="440" w:hanging="360"/>
      </w:pPr>
      <w:r>
        <w:rPr>
          <w:lang w:val="pl-PL" w:eastAsia="pl-PL" w:bidi="pl-PL"/>
          <w:sz w:val="24"/>
          <w:szCs w:val="24"/>
          <w:w w:val="100"/>
          <w:spacing w:val="0"/>
          <w:color w:val="000000"/>
          <w:position w:val="0"/>
        </w:rPr>
        <w:t>116 decyzji w przedmiocie rozłożenia na raty zapłaty podatku, bądź zaległości podatkowych wraz z odsetkami za zwłokę,</w:t>
      </w:r>
    </w:p>
    <w:p>
      <w:pPr>
        <w:pStyle w:val="Style16"/>
        <w:numPr>
          <w:ilvl w:val="0"/>
          <w:numId w:val="5"/>
        </w:numPr>
        <w:tabs>
          <w:tab w:leader="none" w:pos="1058" w:val="left"/>
        </w:tabs>
        <w:widowControl w:val="0"/>
        <w:keepNext w:val="0"/>
        <w:keepLines w:val="0"/>
        <w:shd w:val="clear" w:color="auto" w:fill="auto"/>
        <w:bidi w:val="0"/>
        <w:jc w:val="left"/>
        <w:spacing w:before="0" w:after="0" w:line="274" w:lineRule="exact"/>
        <w:ind w:left="1040" w:right="0" w:hanging="360"/>
      </w:pPr>
      <w:r>
        <w:rPr>
          <w:lang w:val="pl-PL" w:eastAsia="pl-PL" w:bidi="pl-PL"/>
          <w:sz w:val="24"/>
          <w:szCs w:val="24"/>
          <w:w w:val="100"/>
          <w:spacing w:val="0"/>
          <w:color w:val="000000"/>
          <w:position w:val="0"/>
        </w:rPr>
        <w:t>1 decyzję w przedmiocie odroczenia terminu płatności podatku, bądź zapłaty zaległości podatkowych wraz z odsetkami za zwłokę,</w:t>
      </w:r>
    </w:p>
    <w:p>
      <w:pPr>
        <w:pStyle w:val="Style16"/>
        <w:numPr>
          <w:ilvl w:val="0"/>
          <w:numId w:val="5"/>
        </w:numPr>
        <w:tabs>
          <w:tab w:leader="none" w:pos="1058" w:val="left"/>
        </w:tabs>
        <w:widowControl w:val="0"/>
        <w:keepNext w:val="0"/>
        <w:keepLines w:val="0"/>
        <w:shd w:val="clear" w:color="auto" w:fill="auto"/>
        <w:bidi w:val="0"/>
        <w:jc w:val="both"/>
        <w:spacing w:before="0" w:after="244" w:line="274" w:lineRule="exact"/>
        <w:ind w:left="680" w:right="0" w:firstLine="0"/>
      </w:pPr>
      <w:r>
        <w:rPr>
          <w:lang w:val="pl-PL" w:eastAsia="pl-PL" w:bidi="pl-PL"/>
          <w:sz w:val="24"/>
          <w:szCs w:val="24"/>
          <w:w w:val="100"/>
          <w:spacing w:val="0"/>
          <w:color w:val="000000"/>
          <w:position w:val="0"/>
        </w:rPr>
        <w:t>34 decyzje w przedmiocie umorzenia zaległości podatkowych, bądź odsetek za zwłokę.</w:t>
      </w:r>
    </w:p>
    <w:p>
      <w:pPr>
        <w:pStyle w:val="Style16"/>
        <w:widowControl w:val="0"/>
        <w:keepNext w:val="0"/>
        <w:keepLines w:val="0"/>
        <w:shd w:val="clear" w:color="auto" w:fill="auto"/>
        <w:bidi w:val="0"/>
        <w:jc w:val="left"/>
        <w:spacing w:before="0" w:after="236"/>
        <w:ind w:left="320" w:right="440" w:firstLine="360"/>
      </w:pPr>
      <w:r>
        <w:rPr>
          <w:lang w:val="pl-PL" w:eastAsia="pl-PL" w:bidi="pl-PL"/>
          <w:sz w:val="24"/>
          <w:szCs w:val="24"/>
          <w:w w:val="100"/>
          <w:spacing w:val="0"/>
          <w:color w:val="000000"/>
          <w:position w:val="0"/>
        </w:rPr>
        <w:t>Spośród ww. spraw, kontrolą objęto 9 decyzji, w tym 2 w zakresie rozłożenia na raty, 1 w zakresie odroczenia oraz 6 w zakresie umorzenia zaległości.</w:t>
      </w:r>
    </w:p>
    <w:p>
      <w:pPr>
        <w:pStyle w:val="Style16"/>
        <w:widowControl w:val="0"/>
        <w:keepNext w:val="0"/>
        <w:keepLines w:val="0"/>
        <w:shd w:val="clear" w:color="auto" w:fill="auto"/>
        <w:bidi w:val="0"/>
        <w:jc w:val="both"/>
        <w:spacing w:before="0" w:after="240" w:line="274" w:lineRule="exact"/>
        <w:ind w:left="320" w:right="440" w:firstLine="0"/>
      </w:pPr>
      <w:r>
        <w:rPr>
          <w:lang w:val="pl-PL" w:eastAsia="pl-PL" w:bidi="pl-PL"/>
          <w:sz w:val="24"/>
          <w:szCs w:val="24"/>
          <w:w w:val="100"/>
          <w:spacing w:val="0"/>
          <w:color w:val="000000"/>
          <w:position w:val="0"/>
        </w:rPr>
        <w:t>W Urzędzie Skarbowym w Gorzowie Wlkp., postępowanie wszczęte wnioskiem podatnika w przedmiocie ulgi w spłacie zobowiązań podatkowych, prowadzone jest przez pracownika, którego wyznacza Kierownik SEW-2. Pracownik dokonuje wstępnej weryfikacji wniosku pod względem właściwości miejscowej organu podatkowego, następnie po zebraniu materiału dowodowego oraz jego analizie, przygotowuje projekt decyzji i przedkłada go Kierownikowi. Po wstępnej akceptacji projektu decyzji, kierownik komórki przedkłada go Drugiemu Zastępcy Naczelnika Urzędu Skarbowego, a następnie Naczelnikowi Urzędu Skarbowego, który po zaakceptowaniu, podpisuje decyzje. Powyższe wskazuje zatem, że przyjęte rozwiązania organizacyjne, polegające na włączeniu w proces postępowania i wydania decyzji w przedmiocie ulgi w spłacie zobowiązań podatkowych kilku osób, zmierzają do zminimalizowania ryzyka korupcji w ww. sprawach.</w:t>
      </w:r>
    </w:p>
    <w:p>
      <w:pPr>
        <w:pStyle w:val="Style16"/>
        <w:widowControl w:val="0"/>
        <w:keepNext w:val="0"/>
        <w:keepLines w:val="0"/>
        <w:shd w:val="clear" w:color="auto" w:fill="auto"/>
        <w:bidi w:val="0"/>
        <w:jc w:val="both"/>
        <w:spacing w:before="0" w:after="0" w:line="274" w:lineRule="exact"/>
        <w:ind w:left="320" w:right="440" w:firstLine="0"/>
      </w:pPr>
      <w:r>
        <w:rPr>
          <w:lang w:val="pl-PL" w:eastAsia="pl-PL" w:bidi="pl-PL"/>
          <w:sz w:val="24"/>
          <w:szCs w:val="24"/>
          <w:w w:val="100"/>
          <w:spacing w:val="0"/>
          <w:color w:val="000000"/>
          <w:position w:val="0"/>
        </w:rPr>
        <w:t>W wyniku kontroli ustalono, że sprawy prowadzone są z zachowaniem przepisów postępowania, w toku których dokonywano analizy wniosku oraz kompletności materiału dowodowego, oceny wystąpienia przesłanek udzielenia ulgi, a także dokonywano weryfikacji danych uzyskanych od podatnika z danymi będącymi w posiadaniu organu podatkowego.</w:t>
      </w:r>
    </w:p>
    <w:p>
      <w:pPr>
        <w:pStyle w:val="Style16"/>
        <w:widowControl w:val="0"/>
        <w:keepNext w:val="0"/>
        <w:keepLines w:val="0"/>
        <w:shd w:val="clear" w:color="auto" w:fill="auto"/>
        <w:bidi w:val="0"/>
        <w:jc w:val="both"/>
        <w:spacing w:before="0" w:after="0" w:line="274" w:lineRule="exact"/>
        <w:ind w:left="320" w:right="0" w:firstLine="0"/>
      </w:pPr>
      <w:r>
        <w:rPr>
          <w:lang w:val="pl-PL" w:eastAsia="pl-PL" w:bidi="pl-PL"/>
          <w:sz w:val="24"/>
          <w:szCs w:val="24"/>
          <w:w w:val="100"/>
          <w:spacing w:val="0"/>
          <w:color w:val="000000"/>
          <w:position w:val="0"/>
        </w:rPr>
        <w:t>Przy czym należy zwrócić uwagę na występujące błędy i braki w kontrolowanej dokumentacji.</w:t>
      </w:r>
    </w:p>
    <w:p>
      <w:pPr>
        <w:pStyle w:val="Style16"/>
        <w:tabs>
          <w:tab w:leader="none" w:pos="4395" w:val="left"/>
        </w:tabs>
        <w:widowControl w:val="0"/>
        <w:keepNext w:val="0"/>
        <w:keepLines w:val="0"/>
        <w:shd w:val="clear" w:color="auto" w:fill="auto"/>
        <w:bidi w:val="0"/>
        <w:jc w:val="both"/>
        <w:spacing w:before="0" w:after="0" w:line="274" w:lineRule="exact"/>
        <w:ind w:left="320" w:right="0" w:firstLine="0"/>
      </w:pPr>
      <w:r>
        <w:rPr>
          <w:lang w:val="pl-PL" w:eastAsia="pl-PL" w:bidi="pl-PL"/>
          <w:sz w:val="24"/>
          <w:szCs w:val="24"/>
          <w:w w:val="100"/>
          <w:spacing w:val="0"/>
          <w:color w:val="000000"/>
          <w:position w:val="0"/>
        </w:rPr>
        <w:t>W sprawie nr</w:t>
        <w:tab/>
        <w:t>w wezwaniu z dnia 5 stycznia 2018 r. skierowanym do</w:t>
      </w:r>
    </w:p>
    <w:p>
      <w:pPr>
        <w:pStyle w:val="Style16"/>
        <w:widowControl w:val="0"/>
        <w:keepNext w:val="0"/>
        <w:keepLines w:val="0"/>
        <w:shd w:val="clear" w:color="auto" w:fill="auto"/>
        <w:bidi w:val="0"/>
        <w:jc w:val="both"/>
        <w:spacing w:before="0" w:after="0" w:line="274" w:lineRule="exact"/>
        <w:ind w:left="320" w:right="440" w:firstLine="0"/>
      </w:pPr>
      <w:r>
        <w:rPr>
          <w:lang w:val="pl-PL" w:eastAsia="pl-PL" w:bidi="pl-PL"/>
          <w:sz w:val="24"/>
          <w:szCs w:val="24"/>
          <w:w w:val="100"/>
          <w:spacing w:val="0"/>
          <w:color w:val="000000"/>
          <w:position w:val="0"/>
        </w:rPr>
        <w:t>podatnika, sporządzonym na podstawie art.155 oraz art.187 § 1 ustawy Ordynacja pódatkowa w celu uzupełnienia materiału dowodowego, stwierdzono brak pouczenia o skutkach prawnych niezastosowania się do wezwania, wynikającego z art.159 § 1 pkt 6 ww. ustawy. Zatem wezwanie nie zawierało wszystkich obligatoryjnych elementów wyznaczonych w art. 159 powołanej ustawy. Ponadto w sprawie zarówno wezwanie do złożenia pełnomocnictwa, jak i wezwanie do uzupełnienia materiału dowodowego nie zostały wprowadzone w metryce sprawy prowadzonej na podstawie art. 171a § 1 ww. ustawy.</w:t>
      </w:r>
    </w:p>
    <w:p>
      <w:pPr>
        <w:pStyle w:val="Style16"/>
        <w:widowControl w:val="0"/>
        <w:keepNext w:val="0"/>
        <w:keepLines w:val="0"/>
        <w:shd w:val="clear" w:color="auto" w:fill="auto"/>
        <w:bidi w:val="0"/>
        <w:jc w:val="both"/>
        <w:spacing w:before="0" w:after="0" w:line="274" w:lineRule="exact"/>
        <w:ind w:left="320" w:right="440" w:firstLine="0"/>
      </w:pPr>
      <w:r>
        <w:rPr>
          <w:lang w:val="pl-PL" w:eastAsia="pl-PL" w:bidi="pl-PL"/>
          <w:sz w:val="24"/>
          <w:szCs w:val="24"/>
          <w:w w:val="100"/>
          <w:spacing w:val="0"/>
          <w:color w:val="000000"/>
          <w:position w:val="0"/>
        </w:rPr>
        <w:t>We wskazanej sprawie, w zgromadzonym materiale nie stwierdzono dokumentów, notatek lub adnotacji potwierdzających weryfikację przez pracownika Urzędu stanu majątkowego i wykazanych na wydruku z aplikacji CZM nieruchomości. Wyjaśnienia oraz przedłożone wydruki natomiast wskazują, iż podatnik kilkakrotnie zwracał się z wnioskami do organu o rozłożenie na raty posiadanych zaległości. Z przeprowadzonych do wcześniejszych wniosków wyjaśnień wynikało, że podatnik nie posiadał żadnych nieruchomości i nabyte w drodze spadku udziały w nieruchomości zostały przez podatnika zbyte. Zostało to również zawarte w spisanym przez</w:t>
      </w:r>
      <w:r>
        <w:br w:type="page"/>
      </w:r>
    </w:p>
    <w:p>
      <w:pPr>
        <w:framePr w:h="1315" w:wrap="notBeside" w:vAnchor="text" w:hAnchor="text" w:xAlign="right" w:y="1"/>
        <w:widowControl w:val="0"/>
        <w:jc w:val="right"/>
        <w:rPr>
          <w:sz w:val="2"/>
          <w:szCs w:val="2"/>
        </w:rPr>
      </w:pPr>
      <w:r>
        <w:pict>
          <v:shape id="_x0000_s1048" type="#_x0000_t75" style="width:110pt;height:66pt;">
            <v:imagedata r:id="rId29" r:href="rId30"/>
          </v:shape>
        </w:pict>
      </w:r>
    </w:p>
    <w:p>
      <w:pPr>
        <w:widowControl w:val="0"/>
        <w:rPr>
          <w:sz w:val="2"/>
          <w:szCs w:val="2"/>
        </w:rPr>
      </w:pPr>
    </w:p>
    <w:p>
      <w:pPr>
        <w:pStyle w:val="Style16"/>
        <w:widowControl w:val="0"/>
        <w:keepNext w:val="0"/>
        <w:keepLines w:val="0"/>
        <w:shd w:val="clear" w:color="auto" w:fill="auto"/>
        <w:bidi w:val="0"/>
        <w:jc w:val="both"/>
        <w:spacing w:before="14" w:after="184" w:line="274" w:lineRule="exact"/>
        <w:ind w:left="0" w:right="1080" w:firstLine="0"/>
      </w:pPr>
      <w:r>
        <w:rPr>
          <w:lang w:val="pl-PL" w:eastAsia="pl-PL" w:bidi="pl-PL"/>
          <w:sz w:val="24"/>
          <w:szCs w:val="24"/>
          <w:w w:val="100"/>
          <w:spacing w:val="0"/>
          <w:color w:val="000000"/>
          <w:position w:val="0"/>
        </w:rPr>
        <w:t>poborcę skarbowego protokole o stanie majątkowym. Jednak informacje w tym zakresie nie zostały przedstawione w dokumentacji sprawy w postaci notatek służbowych lub adnotacji na raportach z aplikacji CZM, na których wykazane zostały pozycje dotyczące posiadanej przez zobowiązanego nieruchomości.</w:t>
      </w:r>
    </w:p>
    <w:p>
      <w:pPr>
        <w:pStyle w:val="Style16"/>
        <w:tabs>
          <w:tab w:leader="none" w:pos="9284" w:val="left"/>
        </w:tabs>
        <w:widowControl w:val="0"/>
        <w:keepNext w:val="0"/>
        <w:keepLines w:val="0"/>
        <w:shd w:val="clear" w:color="auto" w:fill="auto"/>
        <w:bidi w:val="0"/>
        <w:jc w:val="both"/>
        <w:spacing w:before="0" w:after="0"/>
        <w:ind w:left="0" w:right="0" w:firstLine="0"/>
      </w:pPr>
      <w:r>
        <w:rPr>
          <w:lang w:val="pl-PL" w:eastAsia="pl-PL" w:bidi="pl-PL"/>
          <w:sz w:val="24"/>
          <w:szCs w:val="24"/>
          <w:w w:val="100"/>
          <w:spacing w:val="0"/>
          <w:color w:val="000000"/>
          <w:position w:val="0"/>
        </w:rPr>
        <w:t>Kontrola wykazała również, że w toku prowadzonej sprawy nr</w:t>
        <w:tab/>
        <w:t>w</w:t>
      </w:r>
    </w:p>
    <w:p>
      <w:pPr>
        <w:pStyle w:val="Style16"/>
        <w:widowControl w:val="0"/>
        <w:keepNext w:val="0"/>
        <w:keepLines w:val="0"/>
        <w:shd w:val="clear" w:color="auto" w:fill="auto"/>
        <w:bidi w:val="0"/>
        <w:jc w:val="both"/>
        <w:spacing w:before="0" w:after="0"/>
        <w:ind w:left="0" w:right="1080" w:firstLine="0"/>
      </w:pPr>
      <w:r>
        <w:rPr>
          <w:lang w:val="pl-PL" w:eastAsia="pl-PL" w:bidi="pl-PL"/>
          <w:sz w:val="24"/>
          <w:szCs w:val="24"/>
          <w:w w:val="100"/>
          <w:spacing w:val="0"/>
          <w:color w:val="000000"/>
          <w:position w:val="0"/>
        </w:rPr>
        <w:t>przedmiocie rozłożenia na raty zapłaty zaległości podatkowej nie dokonano weryfikacji złożonego pełnomocnictwa szczególnego. W aktach sprawy znajduje się złożone do kontrolowanego Urzędu w dniu 8.02.2018 r. pełnomocnictwo PPS-1 udzielone przez wspólników Spółki o NIP</w:t>
      </w:r>
    </w:p>
    <w:p>
      <w:pPr>
        <w:pStyle w:val="Style16"/>
        <w:tabs>
          <w:tab w:leader="none" w:pos="2739" w:val="left"/>
          <w:tab w:leader="underscore" w:pos="3296" w:val="left"/>
        </w:tabs>
        <w:widowControl w:val="0"/>
        <w:keepNext w:val="0"/>
        <w:keepLines w:val="0"/>
        <w:shd w:val="clear" w:color="auto" w:fill="auto"/>
        <w:bidi w:val="0"/>
        <w:jc w:val="both"/>
        <w:spacing w:before="0" w:after="0"/>
        <w:ind w:left="2000" w:right="0" w:firstLine="0"/>
      </w:pPr>
      <w:r>
        <w:rPr>
          <w:lang w:val="pl-PL" w:eastAsia="pl-PL" w:bidi="pl-PL"/>
          <w:sz w:val="24"/>
          <w:szCs w:val="24"/>
          <w:w w:val="100"/>
          <w:spacing w:val="0"/>
          <w:color w:val="000000"/>
          <w:position w:val="0"/>
        </w:rPr>
        <w:t>_</w:t>
        <w:tab/>
        <w:t>__</w:t>
        <w:tab/>
        <w:t xml:space="preserve"> ^ w zakresie odroczenia terminu płatności zaliczek na podatek</w:t>
      </w:r>
    </w:p>
    <w:p>
      <w:pPr>
        <w:pStyle w:val="Style16"/>
        <w:widowControl w:val="0"/>
        <w:keepNext w:val="0"/>
        <w:keepLines w:val="0"/>
        <w:shd w:val="clear" w:color="auto" w:fill="auto"/>
        <w:bidi w:val="0"/>
        <w:jc w:val="both"/>
        <w:spacing w:before="0" w:after="180" w:line="274" w:lineRule="exact"/>
        <w:ind w:left="0" w:right="1080" w:firstLine="0"/>
      </w:pPr>
      <w:r>
        <w:rPr>
          <w:lang w:val="pl-PL" w:eastAsia="pl-PL" w:bidi="pl-PL"/>
          <w:sz w:val="24"/>
          <w:szCs w:val="24"/>
          <w:w w:val="100"/>
          <w:spacing w:val="0"/>
          <w:color w:val="000000"/>
          <w:position w:val="0"/>
        </w:rPr>
        <w:t>dochodowy PIT-4. Przy czym do pełnomocnictwa nie został dołączony wniosek o udzielenie ww. ulgi. Następnie w dniu 2.03.2018 r do organu podatkowego wpłynął złożony przez wspólników wniosek o udzielenie ulgi w spłacie zobowiązań podatkowych w postaci rozłożenia na raty ww. należności. Urząd Skarbowy w toku postępowania podatkowego wszczętego ww. wnioskiem bez właściwego wyjaśnienia zakresu reprezentacji Spółki całość korespondencji kierował do , wskazanego w pełnomocnictwie z dnia</w:t>
      </w:r>
    </w:p>
    <w:p>
      <w:pPr>
        <w:pStyle w:val="Style16"/>
        <w:widowControl w:val="0"/>
        <w:keepNext w:val="0"/>
        <w:keepLines w:val="0"/>
        <w:shd w:val="clear" w:color="auto" w:fill="auto"/>
        <w:bidi w:val="0"/>
        <w:jc w:val="both"/>
        <w:spacing w:before="0" w:after="0" w:line="274" w:lineRule="exact"/>
        <w:ind w:left="0" w:right="1080" w:firstLine="0"/>
      </w:pPr>
      <w:r>
        <w:rPr>
          <w:lang w:val="pl-PL" w:eastAsia="pl-PL" w:bidi="pl-PL"/>
          <w:sz w:val="24"/>
          <w:szCs w:val="24"/>
          <w:w w:val="100"/>
          <w:spacing w:val="0"/>
          <w:color w:val="000000"/>
          <w:position w:val="0"/>
        </w:rPr>
        <w:t>W kontrolowanych postępowaniach w zakresie udzielania ulg stwierdzono następujące uchybienia i nieprawidłowości:</w:t>
      </w:r>
    </w:p>
    <w:p>
      <w:pPr>
        <w:pStyle w:val="Style16"/>
        <w:widowControl w:val="0"/>
        <w:keepNext w:val="0"/>
        <w:keepLines w:val="0"/>
        <w:shd w:val="clear" w:color="auto" w:fill="auto"/>
        <w:bidi w:val="0"/>
        <w:jc w:val="both"/>
        <w:spacing w:before="0" w:after="0" w:line="240" w:lineRule="exact"/>
        <w:ind w:left="0" w:right="0" w:firstLine="0"/>
      </w:pPr>
      <w:r>
        <w:rPr>
          <w:rStyle w:val="CharStyle39"/>
        </w:rPr>
        <w:t>Uchybienia:</w:t>
      </w:r>
    </w:p>
    <w:p>
      <w:pPr>
        <w:pStyle w:val="Style16"/>
        <w:numPr>
          <w:ilvl w:val="0"/>
          <w:numId w:val="19"/>
        </w:numPr>
        <w:tabs>
          <w:tab w:leader="none" w:pos="770" w:val="left"/>
        </w:tabs>
        <w:widowControl w:val="0"/>
        <w:keepNext w:val="0"/>
        <w:keepLines w:val="0"/>
        <w:shd w:val="clear" w:color="auto" w:fill="auto"/>
        <w:bidi w:val="0"/>
        <w:jc w:val="both"/>
        <w:spacing w:before="0" w:after="6" w:line="240" w:lineRule="exact"/>
        <w:ind w:left="0" w:right="0" w:firstLine="400"/>
      </w:pPr>
      <w:r>
        <w:rPr>
          <w:lang w:val="pl-PL" w:eastAsia="pl-PL" w:bidi="pl-PL"/>
          <w:sz w:val="24"/>
          <w:szCs w:val="24"/>
          <w:w w:val="100"/>
          <w:spacing w:val="0"/>
          <w:color w:val="000000"/>
          <w:position w:val="0"/>
        </w:rPr>
        <w:t>Brak uzupełnienia w metryce sprawy wszystkich podjętych czynności w sprawie nr</w:t>
      </w:r>
    </w:p>
    <w:p>
      <w:pPr>
        <w:pStyle w:val="Style40"/>
        <w:widowControl w:val="0"/>
        <w:keepNext w:val="0"/>
        <w:keepLines w:val="0"/>
        <w:shd w:val="clear" w:color="auto" w:fill="auto"/>
        <w:bidi w:val="0"/>
        <w:jc w:val="left"/>
        <w:spacing w:before="0" w:after="118" w:line="80" w:lineRule="exact"/>
        <w:ind w:left="2900" w:right="0" w:firstLine="0"/>
      </w:pPr>
      <w:r>
        <w:rPr>
          <w:lang w:val="pl-PL" w:eastAsia="pl-PL" w:bidi="pl-PL"/>
          <w:w w:val="100"/>
          <w:spacing w:val="0"/>
          <w:color w:val="000000"/>
          <w:position w:val="0"/>
        </w:rPr>
        <w:t>\</w:t>
      </w:r>
    </w:p>
    <w:p>
      <w:pPr>
        <w:pStyle w:val="Style16"/>
        <w:widowControl w:val="0"/>
        <w:keepNext w:val="0"/>
        <w:keepLines w:val="0"/>
        <w:shd w:val="clear" w:color="auto" w:fill="auto"/>
        <w:bidi w:val="0"/>
        <w:jc w:val="both"/>
        <w:spacing w:before="0" w:after="0" w:line="274" w:lineRule="exact"/>
        <w:ind w:left="0" w:right="0" w:firstLine="0"/>
      </w:pPr>
      <w:r>
        <w:rPr>
          <w:rStyle w:val="CharStyle39"/>
        </w:rPr>
        <w:t>Nieprawidłowości:</w:t>
      </w:r>
    </w:p>
    <w:p>
      <w:pPr>
        <w:pStyle w:val="Style16"/>
        <w:numPr>
          <w:ilvl w:val="0"/>
          <w:numId w:val="21"/>
        </w:numPr>
        <w:tabs>
          <w:tab w:leader="none" w:pos="770" w:val="left"/>
        </w:tabs>
        <w:widowControl w:val="0"/>
        <w:keepNext w:val="0"/>
        <w:keepLines w:val="0"/>
        <w:shd w:val="clear" w:color="auto" w:fill="auto"/>
        <w:bidi w:val="0"/>
        <w:jc w:val="both"/>
        <w:spacing w:before="0" w:after="0" w:line="274" w:lineRule="exact"/>
        <w:ind w:left="0" w:right="0" w:firstLine="400"/>
      </w:pPr>
      <w:r>
        <w:rPr>
          <w:lang w:val="pl-PL" w:eastAsia="pl-PL" w:bidi="pl-PL"/>
          <w:sz w:val="24"/>
          <w:szCs w:val="24"/>
          <w:w w:val="100"/>
          <w:spacing w:val="0"/>
          <w:color w:val="000000"/>
          <w:position w:val="0"/>
        </w:rPr>
        <w:t>Brak wskazania skutków prawnych niezastosowania się do wezwania wysłanego do</w:t>
      </w:r>
    </w:p>
    <w:p>
      <w:pPr>
        <w:pStyle w:val="Style16"/>
        <w:tabs>
          <w:tab w:leader="none" w:pos="6017" w:val="left"/>
        </w:tabs>
        <w:widowControl w:val="0"/>
        <w:keepNext w:val="0"/>
        <w:keepLines w:val="0"/>
        <w:shd w:val="clear" w:color="auto" w:fill="auto"/>
        <w:bidi w:val="0"/>
        <w:jc w:val="both"/>
        <w:spacing w:before="0" w:after="0" w:line="274" w:lineRule="exact"/>
        <w:ind w:left="780" w:right="0" w:firstLine="0"/>
      </w:pPr>
      <w:r>
        <w:rPr>
          <w:lang w:val="pl-PL" w:eastAsia="pl-PL" w:bidi="pl-PL"/>
          <w:sz w:val="24"/>
          <w:szCs w:val="24"/>
          <w:w w:val="100"/>
          <w:spacing w:val="0"/>
          <w:color w:val="000000"/>
          <w:position w:val="0"/>
        </w:rPr>
        <w:t>podatnika w sprawie nr</w:t>
        <w:tab/>
        <w:t>.• na podstawie art. 155 ustawy</w:t>
      </w:r>
    </w:p>
    <w:p>
      <w:pPr>
        <w:pStyle w:val="Style16"/>
        <w:widowControl w:val="0"/>
        <w:keepNext w:val="0"/>
        <w:keepLines w:val="0"/>
        <w:shd w:val="clear" w:color="auto" w:fill="auto"/>
        <w:bidi w:val="0"/>
        <w:jc w:val="both"/>
        <w:spacing w:before="0" w:after="0" w:line="274" w:lineRule="exact"/>
        <w:ind w:left="780" w:right="0" w:firstLine="0"/>
      </w:pPr>
      <w:r>
        <w:rPr>
          <w:lang w:val="pl-PL" w:eastAsia="pl-PL" w:bidi="pl-PL"/>
          <w:sz w:val="24"/>
          <w:szCs w:val="24"/>
          <w:w w:val="100"/>
          <w:spacing w:val="0"/>
          <w:color w:val="000000"/>
          <w:position w:val="0"/>
        </w:rPr>
        <w:t>Ordynacja podatkowa.</w:t>
      </w:r>
    </w:p>
    <w:p>
      <w:pPr>
        <w:pStyle w:val="Style16"/>
        <w:numPr>
          <w:ilvl w:val="0"/>
          <w:numId w:val="21"/>
        </w:numPr>
        <w:tabs>
          <w:tab w:leader="none" w:pos="770" w:val="left"/>
          <w:tab w:leader="none" w:pos="9284" w:val="left"/>
        </w:tabs>
        <w:widowControl w:val="0"/>
        <w:keepNext w:val="0"/>
        <w:keepLines w:val="0"/>
        <w:shd w:val="clear" w:color="auto" w:fill="auto"/>
        <w:bidi w:val="0"/>
        <w:jc w:val="both"/>
        <w:spacing w:before="0" w:after="807" w:line="274" w:lineRule="exact"/>
        <w:ind w:left="0" w:right="0" w:firstLine="400"/>
      </w:pPr>
      <w:r>
        <w:rPr>
          <w:lang w:val="pl-PL" w:eastAsia="pl-PL" w:bidi="pl-PL"/>
          <w:sz w:val="24"/>
          <w:szCs w:val="24"/>
          <w:w w:val="100"/>
          <w:spacing w:val="0"/>
          <w:color w:val="000000"/>
          <w:position w:val="0"/>
        </w:rPr>
        <w:t>Brak właściwej weryfikacji pełnomocnictwa szczególnego w sprawie nr</w:t>
        <w:tab/>
        <w:t>'•</w:t>
      </w:r>
    </w:p>
    <w:p>
      <w:pPr>
        <w:pStyle w:val="Style19"/>
        <w:numPr>
          <w:ilvl w:val="0"/>
          <w:numId w:val="1"/>
        </w:numPr>
        <w:tabs>
          <w:tab w:leader="none" w:pos="341" w:val="left"/>
        </w:tabs>
        <w:widowControl w:val="0"/>
        <w:keepNext/>
        <w:keepLines/>
        <w:shd w:val="clear" w:color="auto" w:fill="auto"/>
        <w:bidi w:val="0"/>
        <w:jc w:val="both"/>
        <w:spacing w:before="0" w:after="206" w:line="240" w:lineRule="exact"/>
        <w:ind w:left="0" w:right="0" w:firstLine="0"/>
      </w:pPr>
      <w:bookmarkStart w:id="8" w:name="bookmark8"/>
      <w:r>
        <w:rPr>
          <w:lang w:val="pl-PL" w:eastAsia="pl-PL" w:bidi="pl-PL"/>
          <w:sz w:val="24"/>
          <w:szCs w:val="24"/>
          <w:w w:val="100"/>
          <w:spacing w:val="0"/>
          <w:color w:val="000000"/>
          <w:position w:val="0"/>
        </w:rPr>
        <w:t>Podejmowanie działań zmierzających do orzeczenia o odpowiedzialności osób trzecich</w:t>
      </w:r>
      <w:bookmarkEnd w:id="8"/>
    </w:p>
    <w:p>
      <w:pPr>
        <w:pStyle w:val="Style16"/>
        <w:widowControl w:val="0"/>
        <w:keepNext w:val="0"/>
        <w:keepLines w:val="0"/>
        <w:shd w:val="clear" w:color="auto" w:fill="auto"/>
        <w:bidi w:val="0"/>
        <w:jc w:val="both"/>
        <w:spacing w:before="0" w:after="0" w:line="274" w:lineRule="exact"/>
        <w:ind w:left="0" w:right="1080" w:firstLine="400"/>
      </w:pPr>
      <w:r>
        <w:rPr>
          <w:lang w:val="pl-PL" w:eastAsia="pl-PL" w:bidi="pl-PL"/>
          <w:sz w:val="24"/>
          <w:szCs w:val="24"/>
          <w:w w:val="100"/>
          <w:spacing w:val="0"/>
          <w:color w:val="000000"/>
          <w:position w:val="0"/>
        </w:rPr>
        <w:t>W 2018 roku w Urzędzie Skarbowym w Gorzowie Wlkp. zgodnie ze złożonymi wyjaśnieniami do komórki SEW-3 wpłynęło 41 postanowień (wydanych dla organizacji) o umorzeniu postępowania egzekucyjnego w związku z bezskutecznością egzekucji. W oparciu o uzyskane dane ustalono, że po otrzymaniu ww. postanowień:</w:t>
      </w:r>
    </w:p>
    <w:p>
      <w:pPr>
        <w:pStyle w:val="Style16"/>
        <w:numPr>
          <w:ilvl w:val="0"/>
          <w:numId w:val="5"/>
        </w:numPr>
        <w:tabs>
          <w:tab w:leader="none" w:pos="770" w:val="left"/>
        </w:tabs>
        <w:widowControl w:val="0"/>
        <w:keepNext w:val="0"/>
        <w:keepLines w:val="0"/>
        <w:shd w:val="clear" w:color="auto" w:fill="auto"/>
        <w:bidi w:val="0"/>
        <w:jc w:val="both"/>
        <w:spacing w:before="0" w:after="0" w:line="274" w:lineRule="exact"/>
        <w:ind w:left="0" w:right="0" w:firstLine="400"/>
      </w:pPr>
      <w:r>
        <w:rPr>
          <w:lang w:val="pl-PL" w:eastAsia="pl-PL" w:bidi="pl-PL"/>
          <w:sz w:val="24"/>
          <w:szCs w:val="24"/>
          <w:w w:val="100"/>
          <w:spacing w:val="0"/>
          <w:color w:val="000000"/>
          <w:position w:val="0"/>
        </w:rPr>
        <w:t>w 13 przypadkach orzeczono odpowiedzialność,</w:t>
      </w:r>
    </w:p>
    <w:p>
      <w:pPr>
        <w:pStyle w:val="Style16"/>
        <w:numPr>
          <w:ilvl w:val="0"/>
          <w:numId w:val="5"/>
        </w:numPr>
        <w:tabs>
          <w:tab w:leader="none" w:pos="770" w:val="left"/>
        </w:tabs>
        <w:widowControl w:val="0"/>
        <w:keepNext w:val="0"/>
        <w:keepLines w:val="0"/>
        <w:shd w:val="clear" w:color="auto" w:fill="auto"/>
        <w:bidi w:val="0"/>
        <w:jc w:val="both"/>
        <w:spacing w:before="0" w:after="0" w:line="274" w:lineRule="exact"/>
        <w:ind w:left="0" w:right="0" w:firstLine="400"/>
      </w:pPr>
      <w:r>
        <w:rPr>
          <w:lang w:val="pl-PL" w:eastAsia="pl-PL" w:bidi="pl-PL"/>
          <w:sz w:val="24"/>
          <w:szCs w:val="24"/>
          <w:w w:val="100"/>
          <w:spacing w:val="0"/>
          <w:color w:val="000000"/>
          <w:position w:val="0"/>
        </w:rPr>
        <w:t>sporządzono 16 notatek o odstąpieniu od orzeczenia odpowiedzialności,</w:t>
      </w:r>
    </w:p>
    <w:p>
      <w:pPr>
        <w:pStyle w:val="Style16"/>
        <w:numPr>
          <w:ilvl w:val="0"/>
          <w:numId w:val="5"/>
        </w:numPr>
        <w:tabs>
          <w:tab w:leader="none" w:pos="770" w:val="left"/>
        </w:tabs>
        <w:widowControl w:val="0"/>
        <w:keepNext w:val="0"/>
        <w:keepLines w:val="0"/>
        <w:shd w:val="clear" w:color="auto" w:fill="auto"/>
        <w:bidi w:val="0"/>
        <w:jc w:val="left"/>
        <w:spacing w:before="0" w:after="0" w:line="274" w:lineRule="exact"/>
        <w:ind w:left="780" w:right="1080" w:hanging="380"/>
      </w:pPr>
      <w:r>
        <w:rPr>
          <w:lang w:val="pl-PL" w:eastAsia="pl-PL" w:bidi="pl-PL"/>
          <w:sz w:val="24"/>
          <w:szCs w:val="24"/>
          <w:w w:val="100"/>
          <w:spacing w:val="0"/>
          <w:color w:val="000000"/>
          <w:position w:val="0"/>
        </w:rPr>
        <w:t>w jednym przypadku przed wszczęciem postępowania zaległość została uregulowana wraz z odsetkami i kosztami postępowania egzekucyjnego,</w:t>
      </w:r>
    </w:p>
    <w:p>
      <w:pPr>
        <w:pStyle w:val="Style16"/>
        <w:numPr>
          <w:ilvl w:val="0"/>
          <w:numId w:val="5"/>
        </w:numPr>
        <w:tabs>
          <w:tab w:leader="none" w:pos="770" w:val="left"/>
        </w:tabs>
        <w:widowControl w:val="0"/>
        <w:keepNext w:val="0"/>
        <w:keepLines w:val="0"/>
        <w:shd w:val="clear" w:color="auto" w:fill="auto"/>
        <w:bidi w:val="0"/>
        <w:jc w:val="left"/>
        <w:spacing w:before="0" w:after="0" w:line="274" w:lineRule="exact"/>
        <w:ind w:left="780" w:right="1080" w:hanging="380"/>
      </w:pPr>
      <w:r>
        <w:rPr>
          <w:lang w:val="pl-PL" w:eastAsia="pl-PL" w:bidi="pl-PL"/>
          <w:sz w:val="24"/>
          <w:szCs w:val="24"/>
          <w:w w:val="100"/>
          <w:spacing w:val="0"/>
          <w:color w:val="000000"/>
          <w:position w:val="0"/>
        </w:rPr>
        <w:t>11 spraw jest w toku (postanowienie o umorzeniu postępowania egzekucyjnego do zaległości z terminem płatności późniejszym niż 2013r.).</w:t>
      </w:r>
    </w:p>
    <w:p>
      <w:pPr>
        <w:pStyle w:val="Style16"/>
        <w:widowControl w:val="0"/>
        <w:keepNext w:val="0"/>
        <w:keepLines w:val="0"/>
        <w:shd w:val="clear" w:color="auto" w:fill="auto"/>
        <w:bidi w:val="0"/>
        <w:jc w:val="both"/>
        <w:spacing w:before="0" w:after="0" w:line="274" w:lineRule="exact"/>
        <w:ind w:left="0" w:right="1080" w:firstLine="0"/>
      </w:pPr>
      <w:r>
        <w:rPr>
          <w:lang w:val="pl-PL" w:eastAsia="pl-PL" w:bidi="pl-PL"/>
          <w:sz w:val="24"/>
          <w:szCs w:val="24"/>
          <w:w w:val="100"/>
          <w:spacing w:val="0"/>
          <w:color w:val="000000"/>
          <w:position w:val="0"/>
        </w:rPr>
        <w:t>Niezależnie od działań podejmowanych po umorzeniu postępowania egzekucyjnego w związku z bezskutecznością, prowadzono w Trzecim Referacie Spraw Wierzycielskich SEW-3 także sprawy wytypowane w wyniku własnych analiz oraz otrzymane od innych urzędów skarbowych.</w:t>
      </w:r>
    </w:p>
    <w:p>
      <w:pPr>
        <w:pStyle w:val="Style16"/>
        <w:widowControl w:val="0"/>
        <w:keepNext w:val="0"/>
        <w:keepLines w:val="0"/>
        <w:shd w:val="clear" w:color="auto" w:fill="auto"/>
        <w:bidi w:val="0"/>
        <w:jc w:val="both"/>
        <w:spacing w:before="0" w:after="0" w:line="274" w:lineRule="exact"/>
        <w:ind w:left="0" w:right="1080" w:firstLine="0"/>
        <w:sectPr>
          <w:footerReference w:type="even" r:id="rId31"/>
          <w:footerReference w:type="default" r:id="rId32"/>
          <w:footerReference w:type="first" r:id="rId33"/>
          <w:titlePg/>
          <w:pgSz w:w="12161" w:h="16838"/>
          <w:pgMar w:top="161" w:left="1391" w:right="268" w:bottom="1311" w:header="0" w:footer="3" w:gutter="0"/>
          <w:rtlGutter w:val="0"/>
          <w:cols w:space="720"/>
          <w:noEndnote/>
          <w:docGrid w:linePitch="360"/>
        </w:sectPr>
      </w:pPr>
      <w:r>
        <w:rPr>
          <w:lang w:val="pl-PL" w:eastAsia="pl-PL" w:bidi="pl-PL"/>
          <w:sz w:val="24"/>
          <w:szCs w:val="24"/>
          <w:w w:val="100"/>
          <w:spacing w:val="0"/>
          <w:color w:val="000000"/>
          <w:position w:val="0"/>
        </w:rPr>
        <w:t>Z ustaleń dokonanych w oparciu o przedłożone dokumenty wynika także, że w związku ze zmniejszoną liczbą pracowników świadczących pracę w komórce odstępuje się od analizowania możliwości orzeczenia odpowiedzialności osób trzecich w poniższych przypadkach:</w:t>
      </w:r>
    </w:p>
    <w:p>
      <w:pPr>
        <w:pStyle w:val="Style16"/>
        <w:numPr>
          <w:ilvl w:val="0"/>
          <w:numId w:val="5"/>
        </w:numPr>
        <w:tabs>
          <w:tab w:leader="none" w:pos="786" w:val="left"/>
        </w:tabs>
        <w:widowControl w:val="0"/>
        <w:keepNext w:val="0"/>
        <w:keepLines w:val="0"/>
        <w:shd w:val="clear" w:color="auto" w:fill="auto"/>
        <w:bidi w:val="0"/>
        <w:jc w:val="both"/>
        <w:spacing w:before="0" w:after="0" w:line="274" w:lineRule="exact"/>
        <w:ind w:left="820" w:right="1000" w:hanging="380"/>
      </w:pPr>
      <w:r>
        <w:pict>
          <v:shape id="_x0000_s1052" type="#_x0000_t75" style="position:absolute;margin-left:-62.15pt;margin-top:-109.7pt;width:228.5pt;height:98.9pt;z-index:-125829367;mso-wrap-distance-left:5.pt;mso-wrap-distance-right:5.pt;mso-position-horizontal-relative:margin" wrapcoords="0 0 21600 0 21600 21600 0 21600 0 0">
            <v:imagedata r:id="rId34" r:href="rId35"/>
            <w10:wrap type="topAndBottom" anchorx="margin"/>
          </v:shape>
        </w:pict>
      </w:r>
      <w:r>
        <w:rPr>
          <w:lang w:val="pl-PL" w:eastAsia="pl-PL" w:bidi="pl-PL"/>
          <w:sz w:val="24"/>
          <w:szCs w:val="24"/>
          <w:w w:val="100"/>
          <w:spacing w:val="0"/>
          <w:color w:val="000000"/>
          <w:position w:val="0"/>
        </w:rPr>
        <w:t>po umorzeniu postępowania egzekucyjnego, gdy suma kwot zadłużenia podatnika na dzień umorzenia postępowania egzekucyjnego, we wszystkich przypadkach nie przekracza 1.000,00 zł należności głównej,</w:t>
      </w:r>
    </w:p>
    <w:p>
      <w:pPr>
        <w:pStyle w:val="Style16"/>
        <w:numPr>
          <w:ilvl w:val="0"/>
          <w:numId w:val="5"/>
        </w:numPr>
        <w:tabs>
          <w:tab w:leader="none" w:pos="786" w:val="left"/>
        </w:tabs>
        <w:widowControl w:val="0"/>
        <w:keepNext w:val="0"/>
        <w:keepLines w:val="0"/>
        <w:shd w:val="clear" w:color="auto" w:fill="auto"/>
        <w:bidi w:val="0"/>
        <w:jc w:val="both"/>
        <w:spacing w:before="0" w:after="240" w:line="274" w:lineRule="exact"/>
        <w:ind w:left="820" w:right="1000" w:hanging="380"/>
      </w:pPr>
      <w:r>
        <w:rPr>
          <w:lang w:val="pl-PL" w:eastAsia="pl-PL" w:bidi="pl-PL"/>
          <w:sz w:val="24"/>
          <w:szCs w:val="24"/>
          <w:w w:val="100"/>
          <w:spacing w:val="0"/>
          <w:color w:val="000000"/>
          <w:position w:val="0"/>
        </w:rPr>
        <w:t>dłużników wytypowanych w wyniku analiz własnych, dla których przedawnienie terminu wynikającego z art. 118 Ordynacji podatkowej następuje z końcem roku, a suma kwot zadłużenia podatnika we wszystkich podatkach, dla których z końcem roku upływa termin wskazany w tym artykule, nie przekracza 1.000,00 zł należności głównej.</w:t>
      </w:r>
    </w:p>
    <w:p>
      <w:pPr>
        <w:pStyle w:val="Style16"/>
        <w:tabs>
          <w:tab w:leader="none" w:pos="6422" w:val="left"/>
        </w:tabs>
        <w:widowControl w:val="0"/>
        <w:keepNext w:val="0"/>
        <w:keepLines w:val="0"/>
        <w:shd w:val="clear" w:color="auto" w:fill="auto"/>
        <w:bidi w:val="0"/>
        <w:jc w:val="both"/>
        <w:spacing w:before="0" w:after="0" w:line="274" w:lineRule="exact"/>
        <w:ind w:left="0" w:right="1000" w:firstLine="0"/>
      </w:pPr>
      <w:r>
        <w:rPr>
          <w:lang w:val="pl-PL" w:eastAsia="pl-PL" w:bidi="pl-PL"/>
          <w:sz w:val="24"/>
          <w:szCs w:val="24"/>
          <w:w w:val="100"/>
          <w:spacing w:val="0"/>
          <w:color w:val="000000"/>
          <w:position w:val="0"/>
        </w:rPr>
        <w:t>Na podstawie raportu z bazy danych WHTAX wytypowano do kontroli 12 spraw, z datą zakończenia tytułów wykonawczych w 2018 r. poprzez umorzenie ze względu na bezskuteczność egzekucji, które obejmowały zaległości nieprzedawnione. Z dokonanych ustaleń wynika, że w czterech przypadkach orzeczono odpowiedzialność osoby trzeciej, natomiast w 8 przypadkach odstąpiono od orzeczenia odpowiedzialności, w szczególności z uwaei na ekonomikę prowadzonego postępowania fsDrawv nr</w:t>
        <w:tab/>
        <w:t>.</w:t>
      </w:r>
    </w:p>
    <w:p>
      <w:pPr>
        <w:pStyle w:val="Style16"/>
        <w:tabs>
          <w:tab w:leader="underscore" w:pos="307" w:val="left"/>
          <w:tab w:leader="none" w:pos="1186" w:val="left"/>
          <w:tab w:leader="underscore" w:pos="1579" w:val="left"/>
          <w:tab w:leader="none" w:pos="4661" w:val="left"/>
        </w:tabs>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ab/>
        <w:tab/>
        <w:tab/>
        <w:t xml:space="preserve"> _</w:t>
        <w:tab/>
      </w:r>
      <w:r>
        <w:rPr>
          <w:rStyle w:val="CharStyle18"/>
        </w:rPr>
        <w:t>i.</w:t>
      </w:r>
      <w:r>
        <w:rPr>
          <w:lang w:val="pl-PL" w:eastAsia="pl-PL" w:bidi="pl-PL"/>
          <w:sz w:val="24"/>
          <w:szCs w:val="24"/>
          <w:w w:val="100"/>
          <w:spacing w:val="0"/>
          <w:color w:val="000000"/>
          <w:position w:val="0"/>
        </w:rPr>
        <w:t xml:space="preserve"> fakt wygaśnięcia prawa do wydania decyzji o</w:t>
      </w:r>
    </w:p>
    <w:p>
      <w:pPr>
        <w:pStyle w:val="Style16"/>
        <w:tabs>
          <w:tab w:leader="none" w:pos="7027" w:val="left"/>
          <w:tab w:leader="none" w:pos="8291" w:val="left"/>
        </w:tabs>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odpowiedzialności osób trzecich (sprawy nr ■,</w:t>
        <w:tab/>
        <w:t>.</w:t>
        <w:tab/>
        <w:t>&lt;</w:t>
      </w:r>
    </w:p>
    <w:p>
      <w:pPr>
        <w:pStyle w:val="Style16"/>
        <w:tabs>
          <w:tab w:leader="underscore" w:pos="786" w:val="left"/>
          <w:tab w:leader="underscore" w:pos="1832" w:val="left"/>
          <w:tab w:leader="underscore" w:pos="2437" w:val="left"/>
          <w:tab w:leader="none" w:pos="2792" w:val="left"/>
          <w:tab w:leader="underscore" w:pos="3118" w:val="left"/>
          <w:tab w:leader="none" w:pos="4184" w:val="left"/>
          <w:tab w:leader="none" w:pos="8291" w:val="left"/>
        </w:tabs>
        <w:widowControl w:val="0"/>
        <w:keepNext w:val="0"/>
        <w:keepLines w:val="0"/>
        <w:shd w:val="clear" w:color="auto" w:fill="auto"/>
        <w:bidi w:val="0"/>
        <w:jc w:val="both"/>
        <w:spacing w:before="0" w:after="0" w:line="274" w:lineRule="exact"/>
        <w:ind w:left="820" w:right="0" w:hanging="380"/>
      </w:pPr>
      <w:r>
        <w:rPr>
          <w:lang w:val="pl-PL" w:eastAsia="pl-PL" w:bidi="pl-PL"/>
          <w:sz w:val="24"/>
          <w:szCs w:val="24"/>
          <w:w w:val="100"/>
          <w:spacing w:val="0"/>
          <w:color w:val="000000"/>
          <w:position w:val="0"/>
        </w:rPr>
        <w:tab/>
        <w:tab/>
        <w:t>V</w:t>
        <w:tab/>
        <w:tab/>
        <w:tab/>
        <w:t>__</w:t>
        <w:tab/>
        <w:t>_</w:t>
        <w:tab/>
        <w:t>oraz kwotę</w:t>
      </w:r>
    </w:p>
    <w:p>
      <w:pPr>
        <w:pStyle w:val="Style16"/>
        <w:widowControl w:val="0"/>
        <w:keepNext w:val="0"/>
        <w:keepLines w:val="0"/>
        <w:shd w:val="clear" w:color="auto" w:fill="auto"/>
        <w:bidi w:val="0"/>
        <w:jc w:val="both"/>
        <w:spacing w:before="0" w:after="0" w:line="274" w:lineRule="exact"/>
        <w:ind w:left="0" w:right="1000" w:firstLine="0"/>
      </w:pPr>
      <w:r>
        <w:rPr>
          <w:lang w:val="pl-PL" w:eastAsia="pl-PL" w:bidi="pl-PL"/>
          <w:sz w:val="24"/>
          <w:szCs w:val="24"/>
          <w:w w:val="100"/>
          <w:spacing w:val="0"/>
          <w:color w:val="000000"/>
          <w:position w:val="0"/>
        </w:rPr>
        <w:t>zadłużenia podatni</w:t>
      </w:r>
      <w:r>
        <w:rPr>
          <w:rStyle w:val="CharStyle39"/>
        </w:rPr>
        <w:t>ka we</w:t>
      </w:r>
      <w:r>
        <w:rPr>
          <w:lang w:val="pl-PL" w:eastAsia="pl-PL" w:bidi="pl-PL"/>
          <w:sz w:val="24"/>
          <w:szCs w:val="24"/>
          <w:w w:val="100"/>
          <w:spacing w:val="0"/>
          <w:color w:val="000000"/>
          <w:position w:val="0"/>
        </w:rPr>
        <w:t xml:space="preserve"> wszystkich podatkach nieprzekraczającą 1000 zł należności głównej (sprawa nrC _ ________</w:t>
      </w:r>
    </w:p>
    <w:p>
      <w:pPr>
        <w:pStyle w:val="Style16"/>
        <w:widowControl w:val="0"/>
        <w:keepNext w:val="0"/>
        <w:keepLines w:val="0"/>
        <w:shd w:val="clear" w:color="auto" w:fill="auto"/>
        <w:bidi w:val="0"/>
        <w:jc w:val="both"/>
        <w:spacing w:before="0" w:after="0" w:line="274" w:lineRule="exact"/>
        <w:ind w:left="0" w:right="1000" w:firstLine="0"/>
      </w:pPr>
      <w:r>
        <w:rPr>
          <w:lang w:val="pl-PL" w:eastAsia="pl-PL" w:bidi="pl-PL"/>
          <w:sz w:val="24"/>
          <w:szCs w:val="24"/>
          <w:w w:val="100"/>
          <w:spacing w:val="0"/>
          <w:color w:val="000000"/>
          <w:position w:val="0"/>
        </w:rPr>
        <w:t>Odstąpienia od orzeczenia odpowiedzialności udokumentowane zostały notatkami sporządzonymi na wskazane okoliczności. Ocena zasadności odstąpienia od wszczęcia postępowania w przedmiocie orzeczenia odpowiedzialności w kontrolowanych sprawach poprzedzona była wnikliwą analizą zebranego materiału dowodowego, tj.:</w:t>
      </w:r>
    </w:p>
    <w:p>
      <w:pPr>
        <w:pStyle w:val="Style16"/>
        <w:numPr>
          <w:ilvl w:val="0"/>
          <w:numId w:val="5"/>
        </w:numPr>
        <w:tabs>
          <w:tab w:leader="none" w:pos="786" w:val="left"/>
        </w:tabs>
        <w:widowControl w:val="0"/>
        <w:keepNext w:val="0"/>
        <w:keepLines w:val="0"/>
        <w:shd w:val="clear" w:color="auto" w:fill="auto"/>
        <w:bidi w:val="0"/>
        <w:jc w:val="both"/>
        <w:spacing w:before="0" w:after="0" w:line="274" w:lineRule="exact"/>
        <w:ind w:left="820" w:right="0" w:hanging="380"/>
      </w:pPr>
      <w:r>
        <w:rPr>
          <w:lang w:val="pl-PL" w:eastAsia="pl-PL" w:bidi="pl-PL"/>
          <w:sz w:val="24"/>
          <w:szCs w:val="24"/>
          <w:w w:val="100"/>
          <w:spacing w:val="0"/>
          <w:color w:val="000000"/>
          <w:position w:val="0"/>
        </w:rPr>
        <w:t>wykazu zaległości,</w:t>
      </w:r>
    </w:p>
    <w:p>
      <w:pPr>
        <w:pStyle w:val="Style16"/>
        <w:numPr>
          <w:ilvl w:val="0"/>
          <w:numId w:val="5"/>
        </w:numPr>
        <w:tabs>
          <w:tab w:leader="none" w:pos="786" w:val="left"/>
        </w:tabs>
        <w:widowControl w:val="0"/>
        <w:keepNext w:val="0"/>
        <w:keepLines w:val="0"/>
        <w:shd w:val="clear" w:color="auto" w:fill="auto"/>
        <w:bidi w:val="0"/>
        <w:jc w:val="both"/>
        <w:spacing w:before="0" w:after="0" w:line="274" w:lineRule="exact"/>
        <w:ind w:left="820" w:right="0" w:hanging="380"/>
      </w:pPr>
      <w:r>
        <w:rPr>
          <w:lang w:val="pl-PL" w:eastAsia="pl-PL" w:bidi="pl-PL"/>
          <w:sz w:val="24"/>
          <w:szCs w:val="24"/>
          <w:w w:val="100"/>
          <w:spacing w:val="0"/>
          <w:color w:val="000000"/>
          <w:position w:val="0"/>
        </w:rPr>
        <w:t>postanowienia w sprawie umorzenia postępowania egzekucyjnego,</w:t>
      </w:r>
    </w:p>
    <w:p>
      <w:pPr>
        <w:pStyle w:val="Style16"/>
        <w:numPr>
          <w:ilvl w:val="0"/>
          <w:numId w:val="5"/>
        </w:numPr>
        <w:tabs>
          <w:tab w:leader="none" w:pos="786" w:val="left"/>
        </w:tabs>
        <w:widowControl w:val="0"/>
        <w:keepNext w:val="0"/>
        <w:keepLines w:val="0"/>
        <w:shd w:val="clear" w:color="auto" w:fill="auto"/>
        <w:bidi w:val="0"/>
        <w:jc w:val="both"/>
        <w:spacing w:before="0" w:after="0" w:line="274" w:lineRule="exact"/>
        <w:ind w:left="820" w:right="0" w:hanging="380"/>
      </w:pPr>
      <w:r>
        <w:rPr>
          <w:lang w:val="pl-PL" w:eastAsia="pl-PL" w:bidi="pl-PL"/>
          <w:sz w:val="24"/>
          <w:szCs w:val="24"/>
          <w:w w:val="100"/>
          <w:spacing w:val="0"/>
          <w:color w:val="000000"/>
          <w:position w:val="0"/>
        </w:rPr>
        <w:t>szczegółowego opisu podjętych czynności i zastosowanych środków egzekucyjnych,</w:t>
      </w:r>
    </w:p>
    <w:p>
      <w:pPr>
        <w:pStyle w:val="Style16"/>
        <w:numPr>
          <w:ilvl w:val="0"/>
          <w:numId w:val="5"/>
        </w:numPr>
        <w:tabs>
          <w:tab w:leader="none" w:pos="786" w:val="left"/>
        </w:tabs>
        <w:widowControl w:val="0"/>
        <w:keepNext w:val="0"/>
        <w:keepLines w:val="0"/>
        <w:shd w:val="clear" w:color="auto" w:fill="auto"/>
        <w:bidi w:val="0"/>
        <w:jc w:val="both"/>
        <w:spacing w:before="0" w:after="0" w:line="274" w:lineRule="exact"/>
        <w:ind w:left="820" w:right="0" w:hanging="380"/>
      </w:pPr>
      <w:r>
        <w:rPr>
          <w:lang w:val="pl-PL" w:eastAsia="pl-PL" w:bidi="pl-PL"/>
          <w:sz w:val="24"/>
          <w:szCs w:val="24"/>
          <w:w w:val="100"/>
          <w:spacing w:val="0"/>
          <w:color w:val="000000"/>
          <w:position w:val="0"/>
        </w:rPr>
        <w:t>stanu zaległości zobowiązanego w zakresie wszystkich podatków,</w:t>
      </w:r>
    </w:p>
    <w:p>
      <w:pPr>
        <w:pStyle w:val="Style16"/>
        <w:widowControl w:val="0"/>
        <w:keepNext w:val="0"/>
        <w:keepLines w:val="0"/>
        <w:shd w:val="clear" w:color="auto" w:fill="auto"/>
        <w:bidi w:val="0"/>
        <w:jc w:val="both"/>
        <w:spacing w:before="0" w:after="236" w:line="274" w:lineRule="exact"/>
        <w:ind w:left="0" w:right="1000" w:firstLine="0"/>
      </w:pPr>
      <w:r>
        <w:rPr>
          <w:lang w:val="pl-PL" w:eastAsia="pl-PL" w:bidi="pl-PL"/>
          <w:sz w:val="24"/>
          <w:szCs w:val="24"/>
          <w:w w:val="100"/>
          <w:spacing w:val="0"/>
          <w:color w:val="000000"/>
          <w:position w:val="0"/>
        </w:rPr>
        <w:t>a także weryfikacją ekonomiki prowadzonego postępowania pozwalającą stwierdzić, że podjęte działania egzekucyjne nie przyniosą żadnych efektów lub ich wielkość będzie niewspółmierna do poniesionych przez urząd skarbowy nakładów niezbędnych do przygotowania materiału dowodowego, kosztów prowadzenia zmierzającego do wydania decyzji. Ponadto każda z notatek o odstąpieniu od orzeczenia odpowiedzialności posiada akceptację Naczelnika US.</w:t>
      </w:r>
    </w:p>
    <w:p>
      <w:pPr>
        <w:pStyle w:val="Style16"/>
        <w:widowControl w:val="0"/>
        <w:keepNext w:val="0"/>
        <w:keepLines w:val="0"/>
        <w:shd w:val="clear" w:color="auto" w:fill="auto"/>
        <w:bidi w:val="0"/>
        <w:jc w:val="both"/>
        <w:spacing w:before="0" w:after="240" w:line="278" w:lineRule="exact"/>
        <w:ind w:left="0" w:right="1000" w:firstLine="0"/>
      </w:pPr>
      <w:r>
        <w:rPr>
          <w:lang w:val="pl-PL" w:eastAsia="pl-PL" w:bidi="pl-PL"/>
          <w:sz w:val="24"/>
          <w:szCs w:val="24"/>
          <w:w w:val="100"/>
          <w:spacing w:val="0"/>
          <w:color w:val="000000"/>
          <w:position w:val="0"/>
        </w:rPr>
        <w:t>Kontrola notatek sporządzonych na okoliczność odstąpienia od wszczęcia postępowania w przedmiocie orzeczenia odpowiedzialności nie wykazała nieprawidłowości.</w:t>
      </w:r>
    </w:p>
    <w:p>
      <w:pPr>
        <w:pStyle w:val="Style16"/>
        <w:widowControl w:val="0"/>
        <w:keepNext w:val="0"/>
        <w:keepLines w:val="0"/>
        <w:shd w:val="clear" w:color="auto" w:fill="auto"/>
        <w:bidi w:val="0"/>
        <w:jc w:val="both"/>
        <w:spacing w:before="0" w:after="236" w:line="278" w:lineRule="exact"/>
        <w:ind w:left="0" w:right="1000" w:firstLine="0"/>
      </w:pPr>
      <w:r>
        <w:rPr>
          <w:lang w:val="pl-PL" w:eastAsia="pl-PL" w:bidi="pl-PL"/>
          <w:sz w:val="24"/>
          <w:szCs w:val="24"/>
          <w:w w:val="100"/>
          <w:spacing w:val="0"/>
          <w:color w:val="000000"/>
          <w:position w:val="0"/>
        </w:rPr>
        <w:t>Nieprawidłowości nie wykazała także kontrola wydanych decyzji w przedmiocie orzeczenia o odpowiedzialności osób trzecich. Decyzje zawierają prawidłowe rozstrzygnięcie, a z ich uzasadnień jednoznacznie wynika, jakie okoliczności faktyczne i prawne sprawy, znajdujące odzwierciedlenie w przepisach art. 115 i art. 116 Ordynacji podatkowej przesądziły o orzeczeniu odpowiedzialności podatkowej osoby trzeciej za zaległości ciążące na podmiocie głównym.</w:t>
      </w:r>
    </w:p>
    <w:p>
      <w:pPr>
        <w:pStyle w:val="Style16"/>
        <w:widowControl w:val="0"/>
        <w:keepNext w:val="0"/>
        <w:keepLines w:val="0"/>
        <w:shd w:val="clear" w:color="auto" w:fill="auto"/>
        <w:bidi w:val="0"/>
        <w:jc w:val="both"/>
        <w:spacing w:before="0" w:after="0" w:line="283" w:lineRule="exact"/>
        <w:ind w:left="0" w:right="1000" w:firstLine="0"/>
      </w:pPr>
      <w:r>
        <w:rPr>
          <w:lang w:val="pl-PL" w:eastAsia="pl-PL" w:bidi="pl-PL"/>
          <w:sz w:val="24"/>
          <w:szCs w:val="24"/>
          <w:w w:val="100"/>
          <w:spacing w:val="0"/>
          <w:color w:val="000000"/>
          <w:position w:val="0"/>
        </w:rPr>
        <w:t>Ponadto nie stwierdzono, by czynności organu podatkowego zmierzające do wszczęcia postępowania w sprawie odpowiedzialności podatkowej osoby trzeciej były podejmowane w terminie nie zapewniającym przeprowadzenia postępowania podatkowego i wydania decyzji w sprawie przed upływem terminu przedawnienia. Stwierdzono, że wszystkie kontrolowane decyzje zostały wydane przed upływem 5-letniego terminu określonego w art. 118 ustawy - Ordynacja podatkowa.</w:t>
      </w:r>
      <w:r>
        <w:br w:type="page"/>
      </w:r>
    </w:p>
    <w:p>
      <w:pPr>
        <w:framePr w:h="816" w:wrap="notBeside" w:vAnchor="text" w:hAnchor="text" w:xAlign="right" w:y="1"/>
        <w:widowControl w:val="0"/>
        <w:jc w:val="right"/>
        <w:rPr>
          <w:sz w:val="2"/>
          <w:szCs w:val="2"/>
        </w:rPr>
      </w:pPr>
      <w:r>
        <w:pict>
          <v:shape id="_x0000_s1053" type="#_x0000_t75" style="width:57pt;height:41pt;">
            <v:imagedata r:id="rId36" r:href="rId37"/>
          </v:shape>
        </w:pict>
      </w:r>
    </w:p>
    <w:p>
      <w:pPr>
        <w:widowControl w:val="0"/>
        <w:rPr>
          <w:sz w:val="2"/>
          <w:szCs w:val="2"/>
        </w:rPr>
      </w:pPr>
    </w:p>
    <w:p>
      <w:pPr>
        <w:pStyle w:val="Style16"/>
        <w:widowControl w:val="0"/>
        <w:keepNext w:val="0"/>
        <w:keepLines w:val="0"/>
        <w:shd w:val="clear" w:color="auto" w:fill="auto"/>
        <w:bidi w:val="0"/>
        <w:jc w:val="both"/>
        <w:spacing w:before="494" w:after="267" w:line="274" w:lineRule="exact"/>
        <w:ind w:left="780" w:right="340" w:firstLine="0"/>
      </w:pPr>
      <w:r>
        <w:rPr>
          <w:lang w:val="pl-PL" w:eastAsia="pl-PL" w:bidi="pl-PL"/>
          <w:sz w:val="24"/>
          <w:szCs w:val="24"/>
          <w:w w:val="100"/>
          <w:spacing w:val="0"/>
          <w:color w:val="000000"/>
          <w:position w:val="0"/>
        </w:rPr>
        <w:t>Z pisemnych wyjaśnień przekazanych w toku kontroli przez Kierownika komórki SEW-3 wynika, że podczas analiz oraz gromadzenia materiałów w celu orzeczenia odpowiedzialności członków zarządu osób prawnych wykorzystuje się informacje z bazy danych Działu Egzekucyjnego Urzędu. Dział Egzekucyjny, prowadząc sprawy wobec dłużników ZUS, posiada informacje dotyczące ich zaległości, które są niezbędne dla ustalenia „czasu właściwego” do złożenia wniosku o ogłoszenie upadłości, o którym mowa w art. 116 § 1 Ordynacji podatkowej.</w:t>
      </w:r>
    </w:p>
    <w:p>
      <w:pPr>
        <w:pStyle w:val="Style16"/>
        <w:widowControl w:val="0"/>
        <w:keepNext w:val="0"/>
        <w:keepLines w:val="0"/>
        <w:shd w:val="clear" w:color="auto" w:fill="auto"/>
        <w:bidi w:val="0"/>
        <w:jc w:val="both"/>
        <w:spacing w:before="0" w:after="516" w:line="240" w:lineRule="exact"/>
        <w:ind w:left="780" w:right="0" w:firstLine="0"/>
      </w:pPr>
      <w:r>
        <w:rPr>
          <w:lang w:val="pl-PL" w:eastAsia="pl-PL" w:bidi="pl-PL"/>
          <w:sz w:val="24"/>
          <w:szCs w:val="24"/>
          <w:w w:val="100"/>
          <w:spacing w:val="0"/>
          <w:color w:val="000000"/>
          <w:position w:val="0"/>
        </w:rPr>
        <w:t>W kontrolowanym obszarze nie stwierdzono nieprawidłowości oraz uchybień.</w:t>
      </w:r>
    </w:p>
    <w:p>
      <w:pPr>
        <w:pStyle w:val="Style14"/>
        <w:widowControl w:val="0"/>
        <w:keepNext w:val="0"/>
        <w:keepLines w:val="0"/>
        <w:shd w:val="clear" w:color="auto" w:fill="auto"/>
        <w:bidi w:val="0"/>
        <w:jc w:val="left"/>
        <w:spacing w:before="0" w:after="206" w:line="240" w:lineRule="exact"/>
        <w:ind w:left="2920" w:right="0" w:firstLine="0"/>
      </w:pPr>
      <w:r>
        <w:rPr>
          <w:lang w:val="pl-PL" w:eastAsia="pl-PL" w:bidi="pl-PL"/>
          <w:sz w:val="24"/>
          <w:szCs w:val="24"/>
          <w:w w:val="100"/>
          <w:spacing w:val="0"/>
          <w:color w:val="000000"/>
          <w:position w:val="0"/>
        </w:rPr>
        <w:t>OCENA KONTROLOWANEJ DZIAŁALNOŚCI</w:t>
      </w:r>
    </w:p>
    <w:p>
      <w:pPr>
        <w:pStyle w:val="Style16"/>
        <w:widowControl w:val="0"/>
        <w:keepNext w:val="0"/>
        <w:keepLines w:val="0"/>
        <w:shd w:val="clear" w:color="auto" w:fill="auto"/>
        <w:bidi w:val="0"/>
        <w:jc w:val="both"/>
        <w:spacing w:before="0" w:after="0" w:line="274" w:lineRule="exact"/>
        <w:ind w:left="780" w:right="340" w:firstLine="740"/>
      </w:pPr>
      <w:r>
        <w:rPr>
          <w:lang w:val="pl-PL" w:eastAsia="pl-PL" w:bidi="pl-PL"/>
          <w:sz w:val="24"/>
          <w:szCs w:val="24"/>
          <w:w w:val="100"/>
          <w:spacing w:val="0"/>
          <w:color w:val="000000"/>
          <w:position w:val="0"/>
        </w:rPr>
        <w:t xml:space="preserve">Działalność Urzędu Skarbowego w Gorzowie Wlkp. w obszarze </w:t>
      </w:r>
      <w:r>
        <w:rPr>
          <w:rStyle w:val="CharStyle18"/>
        </w:rPr>
        <w:t>„Wykonywanie zadań wierzyciela po umorzeniu postępowania egzekucyjnego</w:t>
      </w:r>
      <w:r>
        <w:rPr>
          <w:lang w:val="pl-PL" w:eastAsia="pl-PL" w:bidi="pl-PL"/>
          <w:sz w:val="24"/>
          <w:szCs w:val="24"/>
          <w:w w:val="100"/>
          <w:spacing w:val="0"/>
          <w:color w:val="000000"/>
          <w:position w:val="0"/>
        </w:rPr>
        <w:t xml:space="preserve">” należy ocenić </w:t>
      </w:r>
      <w:r>
        <w:rPr>
          <w:rStyle w:val="CharStyle42"/>
        </w:rPr>
        <w:t xml:space="preserve">pozytywnie </w:t>
      </w:r>
      <w:r>
        <w:rPr>
          <w:lang w:val="pl-PL" w:eastAsia="pl-PL" w:bidi="pl-PL"/>
          <w:sz w:val="24"/>
          <w:szCs w:val="24"/>
          <w:w w:val="100"/>
          <w:spacing w:val="0"/>
          <w:color w:val="000000"/>
          <w:position w:val="0"/>
        </w:rPr>
        <w:t xml:space="preserve">z </w:t>
      </w:r>
      <w:r>
        <w:rPr>
          <w:rStyle w:val="CharStyle42"/>
        </w:rPr>
        <w:t>uchybieniami.</w:t>
      </w:r>
    </w:p>
    <w:p>
      <w:pPr>
        <w:pStyle w:val="Style16"/>
        <w:widowControl w:val="0"/>
        <w:keepNext w:val="0"/>
        <w:keepLines w:val="0"/>
        <w:shd w:val="clear" w:color="auto" w:fill="auto"/>
        <w:bidi w:val="0"/>
        <w:jc w:val="both"/>
        <w:spacing w:before="0" w:after="0" w:line="274" w:lineRule="exact"/>
        <w:ind w:left="780" w:right="340" w:firstLine="740"/>
      </w:pPr>
      <w:r>
        <w:rPr>
          <w:lang w:val="pl-PL" w:eastAsia="pl-PL" w:bidi="pl-PL"/>
          <w:sz w:val="24"/>
          <w:szCs w:val="24"/>
          <w:w w:val="100"/>
          <w:spacing w:val="0"/>
          <w:color w:val="000000"/>
          <w:position w:val="0"/>
        </w:rPr>
        <w:t>W Urzędzie Skarbowym w Gorzowie Wlkp. wprowadzono przepisy wewnętrzne w zakresie objętym kontrolą, wyznaczono zadania poszczególnym komórkom organizacyjnym w celu właściwej organizacji pracy. Ustalono, że w kontrolowanym Urzędzie sprawowany jest nadzór przez kierowników poszczególnych komórek oraz właściwego Zastępcę Naczelnika Urzędu i Naczelnika Urzędu, a także prowadzone są okresowe kontrole funkcjonalne na podstawie Zarządzenia nr 41/2017 Dyrektora Izby Administracji Skarbowej w Zielonej Górze z dnia 24 lipca 2017 r.</w:t>
      </w:r>
    </w:p>
    <w:p>
      <w:pPr>
        <w:pStyle w:val="Style16"/>
        <w:widowControl w:val="0"/>
        <w:keepNext w:val="0"/>
        <w:keepLines w:val="0"/>
        <w:shd w:val="clear" w:color="auto" w:fill="auto"/>
        <w:bidi w:val="0"/>
        <w:jc w:val="both"/>
        <w:spacing w:before="0" w:after="0" w:line="274" w:lineRule="exact"/>
        <w:ind w:left="780" w:right="340" w:firstLine="740"/>
      </w:pPr>
      <w:r>
        <w:rPr>
          <w:lang w:val="pl-PL" w:eastAsia="pl-PL" w:bidi="pl-PL"/>
          <w:sz w:val="24"/>
          <w:szCs w:val="24"/>
          <w:w w:val="100"/>
          <w:spacing w:val="0"/>
          <w:color w:val="000000"/>
          <w:position w:val="0"/>
        </w:rPr>
        <w:t>W toku kontroli wykazano, że podejmowane działania w obszarze objętym kontrolą komórek wierzycielskich są prawidłowe i zgodne z obowiązującymi w tym zakresie uregulowaniami wewnętrznymi oraz przepisami prawa powszechnie obowiązującego. Komórki organizacyjne opierają swoje działania na Wytycznych Izby Administracji Skarbowej w Zielonej Górze, przy czym należy zwrócić uwagę na konieczność pełnej realizacji przez Urząd wskazanych zadań, w szczególności w zakresie sporządzania analiz po umorzeniu postępowania egzekucyjnego oraz właściwego ich udokumentowania, a także ustalenia cyklicznych analiz własnych w zakresie występowania do sądu z wnioskiem o orzeczenie zakazu w zakresie przewidzianym w art. 373 Prawa upadłościowego oraz objęcie ich nadzorem Zastępcy Naczelnika Urzędu Skarbowego.</w:t>
      </w:r>
    </w:p>
    <w:p>
      <w:pPr>
        <w:pStyle w:val="Style16"/>
        <w:widowControl w:val="0"/>
        <w:keepNext w:val="0"/>
        <w:keepLines w:val="0"/>
        <w:shd w:val="clear" w:color="auto" w:fill="auto"/>
        <w:bidi w:val="0"/>
        <w:jc w:val="both"/>
        <w:spacing w:before="0" w:after="0" w:line="274" w:lineRule="exact"/>
        <w:ind w:left="780" w:right="340" w:firstLine="740"/>
      </w:pPr>
      <w:r>
        <w:rPr>
          <w:lang w:val="pl-PL" w:eastAsia="pl-PL" w:bidi="pl-PL"/>
          <w:sz w:val="24"/>
          <w:szCs w:val="24"/>
          <w:w w:val="100"/>
          <w:spacing w:val="0"/>
          <w:color w:val="000000"/>
          <w:position w:val="0"/>
        </w:rPr>
        <w:t>Jednocześnie stwierdzono nieprawidłowości dotyczące zadania wykonywanego przez Referat Spraw Karnych Skarbowych w zakresie wprowadzania informacji do programu informatycznego.</w:t>
      </w:r>
    </w:p>
    <w:p>
      <w:pPr>
        <w:pStyle w:val="Style16"/>
        <w:widowControl w:val="0"/>
        <w:keepNext w:val="0"/>
        <w:keepLines w:val="0"/>
        <w:shd w:val="clear" w:color="auto" w:fill="auto"/>
        <w:bidi w:val="0"/>
        <w:jc w:val="both"/>
        <w:spacing w:before="0" w:after="267" w:line="274" w:lineRule="exact"/>
        <w:ind w:left="780" w:right="340" w:firstLine="740"/>
      </w:pPr>
      <w:r>
        <w:rPr>
          <w:lang w:val="pl-PL" w:eastAsia="pl-PL" w:bidi="pl-PL"/>
          <w:sz w:val="24"/>
          <w:szCs w:val="24"/>
          <w:w w:val="100"/>
          <w:spacing w:val="0"/>
          <w:color w:val="000000"/>
          <w:position w:val="0"/>
        </w:rPr>
        <w:t>W toku kontroli stwierdzono uchybienia i nieprawidłowości, jednak nie skutkowały one wydaniem wadliwych rozstrzygnięć oraz nie miały one wpływu na prawidłowość podjętego rozstrzygnięcia.</w:t>
      </w:r>
    </w:p>
    <w:p>
      <w:pPr>
        <w:pStyle w:val="Style14"/>
        <w:widowControl w:val="0"/>
        <w:keepNext w:val="0"/>
        <w:keepLines w:val="0"/>
        <w:shd w:val="clear" w:color="auto" w:fill="auto"/>
        <w:bidi w:val="0"/>
        <w:jc w:val="left"/>
        <w:spacing w:before="0" w:after="204" w:line="240" w:lineRule="exact"/>
        <w:ind w:left="4260" w:right="0" w:firstLine="0"/>
      </w:pPr>
      <w:r>
        <w:rPr>
          <w:lang w:val="pl-PL" w:eastAsia="pl-PL" w:bidi="pl-PL"/>
          <w:sz w:val="24"/>
          <w:szCs w:val="24"/>
          <w:w w:val="100"/>
          <w:spacing w:val="0"/>
          <w:color w:val="000000"/>
          <w:position w:val="0"/>
        </w:rPr>
        <w:t>NIEPRAWIDŁOWOŚCI</w:t>
      </w:r>
    </w:p>
    <w:p>
      <w:pPr>
        <w:pStyle w:val="Style16"/>
        <w:widowControl w:val="0"/>
        <w:keepNext w:val="0"/>
        <w:keepLines w:val="0"/>
        <w:shd w:val="clear" w:color="auto" w:fill="auto"/>
        <w:bidi w:val="0"/>
        <w:jc w:val="left"/>
        <w:spacing w:before="0" w:after="98" w:line="288" w:lineRule="exact"/>
        <w:ind w:left="780" w:right="0" w:firstLine="460"/>
      </w:pPr>
      <w:r>
        <w:rPr>
          <w:lang w:val="pl-PL" w:eastAsia="pl-PL" w:bidi="pl-PL"/>
          <w:sz w:val="24"/>
          <w:szCs w:val="24"/>
          <w:w w:val="100"/>
          <w:spacing w:val="0"/>
          <w:color w:val="000000"/>
          <w:position w:val="0"/>
        </w:rPr>
        <w:t>W Urzędzie Skarbowym w Gorzowie Wlkp. w kontrolowanym obszarze stwierdzono następujące uchybienia i nieprawidłowości:</w:t>
      </w:r>
    </w:p>
    <w:p>
      <w:pPr>
        <w:pStyle w:val="Style16"/>
        <w:widowControl w:val="0"/>
        <w:keepNext w:val="0"/>
        <w:keepLines w:val="0"/>
        <w:shd w:val="clear" w:color="auto" w:fill="auto"/>
        <w:bidi w:val="0"/>
        <w:jc w:val="left"/>
        <w:spacing w:before="0" w:after="7" w:line="240" w:lineRule="exact"/>
        <w:ind w:left="780" w:right="0" w:firstLine="460"/>
      </w:pPr>
      <w:r>
        <w:rPr>
          <w:rStyle w:val="CharStyle39"/>
        </w:rPr>
        <w:t>Uchybienia:</w:t>
      </w:r>
    </w:p>
    <w:p>
      <w:pPr>
        <w:pStyle w:val="Style16"/>
        <w:numPr>
          <w:ilvl w:val="0"/>
          <w:numId w:val="23"/>
        </w:numPr>
        <w:tabs>
          <w:tab w:leader="none" w:pos="1255" w:val="left"/>
        </w:tabs>
        <w:widowControl w:val="0"/>
        <w:keepNext w:val="0"/>
        <w:keepLines w:val="0"/>
        <w:shd w:val="clear" w:color="auto" w:fill="auto"/>
        <w:bidi w:val="0"/>
        <w:jc w:val="both"/>
        <w:spacing w:before="0" w:after="2" w:line="240" w:lineRule="exact"/>
        <w:ind w:left="900" w:right="0" w:firstLine="0"/>
      </w:pPr>
      <w:r>
        <w:rPr>
          <w:lang w:val="pl-PL" w:eastAsia="pl-PL" w:bidi="pl-PL"/>
          <w:sz w:val="24"/>
          <w:szCs w:val="24"/>
          <w:w w:val="100"/>
          <w:spacing w:val="0"/>
          <w:color w:val="000000"/>
          <w:position w:val="0"/>
        </w:rPr>
        <w:t>Błędne wprowadzenie daty zastosowanego środka egzekucyjnego, tj. w dniu 6.07.2013r.</w:t>
      </w:r>
    </w:p>
    <w:p>
      <w:pPr>
        <w:pStyle w:val="Style16"/>
        <w:widowControl w:val="0"/>
        <w:keepNext w:val="0"/>
        <w:keepLines w:val="0"/>
        <w:shd w:val="clear" w:color="auto" w:fill="auto"/>
        <w:bidi w:val="0"/>
        <w:jc w:val="left"/>
        <w:spacing w:before="0" w:after="12" w:line="240" w:lineRule="exact"/>
        <w:ind w:left="780" w:right="0" w:firstLine="460"/>
      </w:pPr>
      <w:r>
        <w:rPr>
          <w:lang w:val="pl-PL" w:eastAsia="pl-PL" w:bidi="pl-PL"/>
          <w:sz w:val="24"/>
          <w:szCs w:val="24"/>
          <w:w w:val="100"/>
          <w:spacing w:val="0"/>
          <w:color w:val="000000"/>
          <w:position w:val="0"/>
        </w:rPr>
        <w:t>zamiast w dniu 08.07.2012 r. w sprawie nr</w:t>
      </w:r>
    </w:p>
    <w:p>
      <w:pPr>
        <w:pStyle w:val="Style16"/>
        <w:numPr>
          <w:ilvl w:val="0"/>
          <w:numId w:val="23"/>
        </w:numPr>
        <w:tabs>
          <w:tab w:leader="none" w:pos="1255" w:val="left"/>
        </w:tabs>
        <w:widowControl w:val="0"/>
        <w:keepNext w:val="0"/>
        <w:keepLines w:val="0"/>
        <w:shd w:val="clear" w:color="auto" w:fill="auto"/>
        <w:bidi w:val="0"/>
        <w:jc w:val="both"/>
        <w:spacing w:before="0" w:after="0" w:line="240" w:lineRule="exact"/>
        <w:ind w:left="900" w:right="0" w:firstLine="0"/>
      </w:pPr>
      <w:r>
        <w:rPr>
          <w:lang w:val="pl-PL" w:eastAsia="pl-PL" w:bidi="pl-PL"/>
          <w:sz w:val="24"/>
          <w:szCs w:val="24"/>
          <w:w w:val="100"/>
          <w:spacing w:val="0"/>
          <w:color w:val="000000"/>
          <w:position w:val="0"/>
        </w:rPr>
        <w:t>Brak uzupełnienia w metryce sprawy wszystkich podjętych czynności w sprawie nr</w:t>
      </w:r>
      <w:r>
        <w:br w:type="page"/>
      </w:r>
    </w:p>
    <w:p>
      <w:pPr>
        <w:pStyle w:val="Style16"/>
        <w:widowControl w:val="0"/>
        <w:keepNext w:val="0"/>
        <w:keepLines w:val="0"/>
        <w:shd w:val="clear" w:color="auto" w:fill="auto"/>
        <w:bidi w:val="0"/>
        <w:jc w:val="both"/>
        <w:spacing w:before="0" w:after="0" w:line="274" w:lineRule="exact"/>
        <w:ind w:left="0" w:right="0" w:firstLine="0"/>
      </w:pPr>
      <w:r>
        <w:rPr>
          <w:rStyle w:val="CharStyle39"/>
        </w:rPr>
        <w:t>Nieprawidłowości</w:t>
      </w:r>
      <w:r>
        <w:rPr>
          <w:lang w:val="pl-PL" w:eastAsia="pl-PL" w:bidi="pl-PL"/>
          <w:sz w:val="24"/>
          <w:szCs w:val="24"/>
          <w:w w:val="100"/>
          <w:spacing w:val="0"/>
          <w:color w:val="000000"/>
          <w:position w:val="0"/>
        </w:rPr>
        <w:t>:</w:t>
      </w:r>
    </w:p>
    <w:p>
      <w:pPr>
        <w:pStyle w:val="Style16"/>
        <w:widowControl w:val="0"/>
        <w:keepNext w:val="0"/>
        <w:keepLines w:val="0"/>
        <w:shd w:val="clear" w:color="auto" w:fill="auto"/>
        <w:bidi w:val="0"/>
        <w:jc w:val="both"/>
        <w:spacing w:before="0" w:after="0" w:line="274" w:lineRule="exact"/>
        <w:ind w:left="0" w:right="0" w:firstLine="0"/>
      </w:pPr>
      <w:r>
        <w:pict>
          <v:shape id="_x0000_s1054" type="#_x0000_t75" style="position:absolute;margin-left:-26.4pt;margin-top:-86.15pt;width:73.9pt;height:126.7pt;z-index:-125829366;mso-wrap-distance-left:5.pt;mso-wrap-distance-right:5.pt;mso-position-horizontal-relative:margin" wrapcoords="0 0 21600 0 21600 21600 0 21600 0 0">
            <v:imagedata r:id="rId38" r:href="rId39"/>
            <w10:wrap type="square" anchorx="margin"/>
          </v:shape>
        </w:pict>
      </w:r>
      <w:r>
        <w:rPr>
          <w:lang w:val="pl-PL" w:eastAsia="pl-PL" w:bidi="pl-PL"/>
          <w:sz w:val="24"/>
          <w:szCs w:val="24"/>
          <w:w w:val="100"/>
          <w:spacing w:val="0"/>
          <w:color w:val="000000"/>
          <w:position w:val="0"/>
        </w:rPr>
        <w:t>1. Brak wskazania skutków prawnych niezastosowania się do wezwania wysłanego do podatnika</w:t>
      </w:r>
    </w:p>
    <w:p>
      <w:pPr>
        <w:pStyle w:val="Style16"/>
        <w:tabs>
          <w:tab w:leader="none" w:pos="3043" w:val="left"/>
          <w:tab w:leader="underscore" w:pos="3350" w:val="left"/>
          <w:tab w:leader="underscore" w:pos="3874" w:val="left"/>
        </w:tabs>
        <w:widowControl w:val="0"/>
        <w:keepNext w:val="0"/>
        <w:keepLines w:val="0"/>
        <w:shd w:val="clear" w:color="auto" w:fill="auto"/>
        <w:bidi w:val="0"/>
        <w:jc w:val="both"/>
        <w:spacing w:before="0" w:after="0" w:line="274" w:lineRule="exact"/>
        <w:ind w:left="0" w:right="0" w:firstLine="0"/>
      </w:pPr>
      <w:r>
        <w:rPr>
          <w:lang w:val="pl-PL" w:eastAsia="pl-PL" w:bidi="pl-PL"/>
          <w:sz w:val="24"/>
          <w:szCs w:val="24"/>
          <w:w w:val="100"/>
          <w:spacing w:val="0"/>
          <w:color w:val="000000"/>
          <w:position w:val="0"/>
        </w:rPr>
        <w:t>w sprawie nrV</w:t>
        <w:tab/>
        <w:tab/>
        <w:tab/>
        <w:t>)na podstawie art. 155 ustawy Ordynacja podatkowa.</w:t>
      </w:r>
    </w:p>
    <w:p>
      <w:pPr>
        <w:pStyle w:val="Style16"/>
        <w:widowControl w:val="0"/>
        <w:keepNext w:val="0"/>
        <w:keepLines w:val="0"/>
        <w:shd w:val="clear" w:color="auto" w:fill="auto"/>
        <w:bidi w:val="0"/>
        <w:jc w:val="both"/>
        <w:spacing w:before="0" w:after="240" w:line="274" w:lineRule="exact"/>
        <w:ind w:left="0" w:right="0" w:firstLine="0"/>
      </w:pPr>
      <w:r>
        <w:rPr>
          <w:lang w:val="pl-PL" w:eastAsia="pl-PL" w:bidi="pl-PL"/>
          <w:sz w:val="24"/>
          <w:szCs w:val="24"/>
          <w:w w:val="100"/>
          <w:spacing w:val="0"/>
          <w:color w:val="000000"/>
          <w:position w:val="0"/>
        </w:rPr>
        <w:t xml:space="preserve">Brak </w:t>
      </w:r>
      <w:r>
        <w:rPr>
          <w:rStyle w:val="CharStyle43"/>
        </w:rPr>
        <w:t xml:space="preserve">właściwej </w:t>
      </w:r>
      <w:r>
        <w:rPr>
          <w:lang w:val="pl-PL" w:eastAsia="pl-PL" w:bidi="pl-PL"/>
          <w:sz w:val="24"/>
          <w:szCs w:val="24"/>
          <w:w w:val="100"/>
          <w:spacing w:val="0"/>
          <w:color w:val="000000"/>
          <w:position w:val="0"/>
        </w:rPr>
        <w:t>weryfikacji pełnomocnictwa szczególnego w sprawie nr f</w:t>
      </w:r>
    </w:p>
    <w:p>
      <w:pPr>
        <w:pStyle w:val="Style16"/>
        <w:numPr>
          <w:ilvl w:val="0"/>
          <w:numId w:val="23"/>
        </w:numPr>
        <w:tabs>
          <w:tab w:leader="none" w:pos="819" w:val="left"/>
        </w:tabs>
        <w:widowControl w:val="0"/>
        <w:keepNext w:val="0"/>
        <w:keepLines w:val="0"/>
        <w:shd w:val="clear" w:color="auto" w:fill="auto"/>
        <w:bidi w:val="0"/>
        <w:jc w:val="both"/>
        <w:spacing w:before="0" w:after="267" w:line="274" w:lineRule="exact"/>
        <w:ind w:left="840" w:right="680" w:hanging="380"/>
      </w:pPr>
      <w:r>
        <w:rPr>
          <w:lang w:val="pl-PL" w:eastAsia="pl-PL" w:bidi="pl-PL"/>
          <w:sz w:val="24"/>
          <w:szCs w:val="24"/>
          <w:w w:val="100"/>
          <w:spacing w:val="0"/>
          <w:color w:val="000000"/>
          <w:position w:val="0"/>
        </w:rPr>
        <w:t>Wprowadzanie przez Referat Spraw Karnych Skarbowych, do programu informatycznego MRP, dat okresu zawieszenia biegu terminu przedawnienia w związku z postępowaniem w sprawie o przestępstwo skarbowe lub wykroczenie skarbowe, ze zwłoką dochodzącą do kilku lat.</w:t>
      </w:r>
    </w:p>
    <w:p>
      <w:pPr>
        <w:pStyle w:val="Style14"/>
        <w:widowControl w:val="0"/>
        <w:keepNext w:val="0"/>
        <w:keepLines w:val="0"/>
        <w:shd w:val="clear" w:color="auto" w:fill="auto"/>
        <w:bidi w:val="0"/>
        <w:jc w:val="center"/>
        <w:spacing w:before="0" w:after="206" w:line="240" w:lineRule="exact"/>
        <w:ind w:left="220" w:right="0" w:firstLine="0"/>
      </w:pPr>
      <w:r>
        <w:rPr>
          <w:lang w:val="pl-PL" w:eastAsia="pl-PL" w:bidi="pl-PL"/>
          <w:sz w:val="24"/>
          <w:szCs w:val="24"/>
          <w:w w:val="100"/>
          <w:spacing w:val="0"/>
          <w:color w:val="000000"/>
          <w:position w:val="0"/>
        </w:rPr>
        <w:t>ZALECENIA</w:t>
      </w:r>
    </w:p>
    <w:p>
      <w:pPr>
        <w:pStyle w:val="Style16"/>
        <w:widowControl w:val="0"/>
        <w:keepNext w:val="0"/>
        <w:keepLines w:val="0"/>
        <w:shd w:val="clear" w:color="auto" w:fill="auto"/>
        <w:bidi w:val="0"/>
        <w:jc w:val="center"/>
        <w:spacing w:before="0" w:after="0" w:line="274" w:lineRule="exact"/>
        <w:ind w:left="0" w:right="160" w:firstLine="0"/>
      </w:pPr>
      <w:r>
        <w:rPr>
          <w:lang w:val="pl-PL" w:eastAsia="pl-PL" w:bidi="pl-PL"/>
          <w:sz w:val="24"/>
          <w:szCs w:val="24"/>
          <w:w w:val="100"/>
          <w:spacing w:val="0"/>
          <w:color w:val="000000"/>
          <w:position w:val="0"/>
        </w:rPr>
        <w:t>W związku ze stwierdzonymi w toku kontroli uchybieniami i nieprawidłowościami Izba</w:t>
      </w:r>
    </w:p>
    <w:p>
      <w:pPr>
        <w:pStyle w:val="Style16"/>
        <w:widowControl w:val="0"/>
        <w:keepNext w:val="0"/>
        <w:keepLines w:val="0"/>
        <w:shd w:val="clear" w:color="auto" w:fill="auto"/>
        <w:bidi w:val="0"/>
        <w:jc w:val="left"/>
        <w:spacing w:before="0" w:after="0" w:line="274" w:lineRule="exact"/>
        <w:ind w:left="840" w:right="0" w:hanging="380"/>
      </w:pPr>
      <w:r>
        <w:rPr>
          <w:lang w:val="pl-PL" w:eastAsia="pl-PL" w:bidi="pl-PL"/>
          <w:sz w:val="24"/>
          <w:szCs w:val="24"/>
          <w:w w:val="100"/>
          <w:spacing w:val="0"/>
          <w:color w:val="000000"/>
          <w:position w:val="0"/>
        </w:rPr>
        <w:t>Administracji Skarbowej w Zielonej Górze zaleca:</w:t>
      </w:r>
    </w:p>
    <w:p>
      <w:pPr>
        <w:pStyle w:val="Style16"/>
        <w:numPr>
          <w:ilvl w:val="0"/>
          <w:numId w:val="25"/>
        </w:numPr>
        <w:tabs>
          <w:tab w:leader="none" w:pos="819" w:val="left"/>
        </w:tabs>
        <w:widowControl w:val="0"/>
        <w:keepNext w:val="0"/>
        <w:keepLines w:val="0"/>
        <w:shd w:val="clear" w:color="auto" w:fill="auto"/>
        <w:bidi w:val="0"/>
        <w:jc w:val="both"/>
        <w:spacing w:before="0" w:after="0" w:line="274" w:lineRule="exact"/>
        <w:ind w:left="840" w:right="680" w:hanging="380"/>
      </w:pPr>
      <w:r>
        <w:rPr>
          <w:lang w:val="pl-PL" w:eastAsia="pl-PL" w:bidi="pl-PL"/>
          <w:sz w:val="24"/>
          <w:szCs w:val="24"/>
          <w:w w:val="100"/>
          <w:spacing w:val="0"/>
          <w:color w:val="000000"/>
          <w:position w:val="0"/>
        </w:rPr>
        <w:t>Sporządzać wezwania kierowane do kontrolowanego zgodnie z przepisami ustawy Ordynacja podatkowa.</w:t>
      </w:r>
    </w:p>
    <w:p>
      <w:pPr>
        <w:pStyle w:val="Style16"/>
        <w:numPr>
          <w:ilvl w:val="0"/>
          <w:numId w:val="25"/>
        </w:numPr>
        <w:tabs>
          <w:tab w:leader="none" w:pos="819" w:val="left"/>
        </w:tabs>
        <w:widowControl w:val="0"/>
        <w:keepNext w:val="0"/>
        <w:keepLines w:val="0"/>
        <w:shd w:val="clear" w:color="auto" w:fill="auto"/>
        <w:bidi w:val="0"/>
        <w:jc w:val="both"/>
        <w:spacing w:before="0" w:after="0" w:line="274" w:lineRule="exact"/>
        <w:ind w:left="840" w:right="680" w:hanging="380"/>
      </w:pPr>
      <w:r>
        <w:rPr>
          <w:lang w:val="pl-PL" w:eastAsia="pl-PL" w:bidi="pl-PL"/>
          <w:sz w:val="24"/>
          <w:szCs w:val="24"/>
          <w:w w:val="100"/>
          <w:spacing w:val="0"/>
          <w:color w:val="000000"/>
          <w:position w:val="0"/>
        </w:rPr>
        <w:t>Dokumentację w postępowaniu w sprawie udzielenia ulgi w spłacie zobowiązań podatkowych kompletować w sposób szczegółowy, zwłaszcza w sytuacji dokonywania oceny sytuacji wnioskodawcy na podstawie już zebranego materiału w innych sprawach.</w:t>
      </w:r>
    </w:p>
    <w:p>
      <w:pPr>
        <w:pStyle w:val="Style16"/>
        <w:numPr>
          <w:ilvl w:val="0"/>
          <w:numId w:val="25"/>
        </w:numPr>
        <w:tabs>
          <w:tab w:leader="none" w:pos="819" w:val="left"/>
        </w:tabs>
        <w:widowControl w:val="0"/>
        <w:keepNext w:val="0"/>
        <w:keepLines w:val="0"/>
        <w:shd w:val="clear" w:color="auto" w:fill="auto"/>
        <w:bidi w:val="0"/>
        <w:jc w:val="both"/>
        <w:spacing w:before="0" w:after="0" w:line="274" w:lineRule="exact"/>
        <w:ind w:left="840" w:right="680" w:hanging="380"/>
      </w:pPr>
      <w:r>
        <w:rPr>
          <w:lang w:val="pl-PL" w:eastAsia="pl-PL" w:bidi="pl-PL"/>
          <w:sz w:val="24"/>
          <w:szCs w:val="24"/>
          <w:w w:val="100"/>
          <w:spacing w:val="0"/>
          <w:color w:val="000000"/>
          <w:position w:val="0"/>
        </w:rPr>
        <w:t>Realizować w pełnym zakresie Wytyczne Izby Administracji Skarbowej w obszarze sporządzania analiz po umorzeniu postępowania egzekucyjnego oraz właściwego ich udokumentowania.</w:t>
      </w:r>
    </w:p>
    <w:p>
      <w:pPr>
        <w:pStyle w:val="Style16"/>
        <w:numPr>
          <w:ilvl w:val="0"/>
          <w:numId w:val="25"/>
        </w:numPr>
        <w:tabs>
          <w:tab w:leader="none" w:pos="819" w:val="left"/>
        </w:tabs>
        <w:widowControl w:val="0"/>
        <w:keepNext w:val="0"/>
        <w:keepLines w:val="0"/>
        <w:shd w:val="clear" w:color="auto" w:fill="auto"/>
        <w:bidi w:val="0"/>
        <w:jc w:val="both"/>
        <w:spacing w:before="0" w:after="0" w:line="274" w:lineRule="exact"/>
        <w:ind w:left="840" w:right="680" w:hanging="380"/>
      </w:pPr>
      <w:r>
        <w:rPr>
          <w:lang w:val="pl-PL" w:eastAsia="pl-PL" w:bidi="pl-PL"/>
          <w:sz w:val="24"/>
          <w:szCs w:val="24"/>
          <w:w w:val="100"/>
          <w:spacing w:val="0"/>
          <w:color w:val="000000"/>
          <w:position w:val="0"/>
        </w:rPr>
        <w:t>Ustalić cykliczne analizy własne komórki SEW-3 w zakresie występowania do sądu z wnioskiem o orzeczenie zakazu w zakresie przewidzianym w art. 373 Prawa upadłościowego oraz objęcie ich nadzorem Zastępcy Naczelnika Urzędu Skarbowego.</w:t>
      </w:r>
    </w:p>
    <w:p>
      <w:pPr>
        <w:pStyle w:val="Style16"/>
        <w:numPr>
          <w:ilvl w:val="0"/>
          <w:numId w:val="25"/>
        </w:numPr>
        <w:tabs>
          <w:tab w:leader="none" w:pos="819" w:val="left"/>
        </w:tabs>
        <w:widowControl w:val="0"/>
        <w:keepNext w:val="0"/>
        <w:keepLines w:val="0"/>
        <w:shd w:val="clear" w:color="auto" w:fill="auto"/>
        <w:bidi w:val="0"/>
        <w:jc w:val="both"/>
        <w:spacing w:before="0" w:after="0" w:line="274" w:lineRule="exact"/>
        <w:ind w:left="840" w:right="680" w:hanging="380"/>
      </w:pPr>
      <w:r>
        <w:rPr>
          <w:lang w:val="pl-PL" w:eastAsia="pl-PL" w:bidi="pl-PL"/>
          <w:sz w:val="24"/>
          <w:szCs w:val="24"/>
          <w:w w:val="100"/>
          <w:spacing w:val="0"/>
          <w:color w:val="000000"/>
          <w:position w:val="0"/>
        </w:rPr>
        <w:t>Wzmocnić mechanizmy nadzoru nad wprowadzaniem danych do programu informatycznego MRP, w szczególności poprzez przyjęcie szczegółowych regulacji wewnętrznych w tym zakresie.</w:t>
      </w:r>
    </w:p>
    <w:p>
      <w:pPr>
        <w:pStyle w:val="Style16"/>
        <w:numPr>
          <w:ilvl w:val="0"/>
          <w:numId w:val="25"/>
        </w:numPr>
        <w:tabs>
          <w:tab w:leader="none" w:pos="819" w:val="left"/>
        </w:tabs>
        <w:widowControl w:val="0"/>
        <w:keepNext w:val="0"/>
        <w:keepLines w:val="0"/>
        <w:shd w:val="clear" w:color="auto" w:fill="auto"/>
        <w:bidi w:val="0"/>
        <w:jc w:val="both"/>
        <w:spacing w:before="0" w:after="267" w:line="274" w:lineRule="exact"/>
        <w:ind w:left="840" w:right="680" w:hanging="380"/>
      </w:pPr>
      <w:r>
        <w:rPr>
          <w:lang w:val="pl-PL" w:eastAsia="pl-PL" w:bidi="pl-PL"/>
          <w:sz w:val="24"/>
          <w:szCs w:val="24"/>
          <w:w w:val="100"/>
          <w:spacing w:val="0"/>
          <w:color w:val="000000"/>
          <w:position w:val="0"/>
        </w:rPr>
        <w:t>Omówić z pracownikami uchybienia i nieprawidłowości, ze szczególnym zwróceniem uwagi na rzetelność dokonywania weryfikacji składanych wniosków pod względem formalnym.</w:t>
      </w:r>
    </w:p>
    <w:p>
      <w:pPr>
        <w:pStyle w:val="Style16"/>
        <w:widowControl w:val="0"/>
        <w:keepNext w:val="0"/>
        <w:keepLines w:val="0"/>
        <w:shd w:val="clear" w:color="auto" w:fill="auto"/>
        <w:bidi w:val="0"/>
        <w:jc w:val="both"/>
        <w:spacing w:before="0" w:after="0" w:line="240" w:lineRule="exact"/>
        <w:ind w:left="840" w:right="0" w:hanging="380"/>
      </w:pPr>
      <w:r>
        <w:rPr>
          <w:lang w:val="pl-PL" w:eastAsia="pl-PL" w:bidi="pl-PL"/>
          <w:sz w:val="24"/>
          <w:szCs w:val="24"/>
          <w:w w:val="100"/>
          <w:spacing w:val="0"/>
          <w:color w:val="000000"/>
          <w:position w:val="0"/>
        </w:rPr>
        <w:t>Termin złożenia informacji o wykonaniu zaleceń lub wykorzystaniu wniosków, a także o</w:t>
      </w:r>
    </w:p>
    <w:p>
      <w:pPr>
        <w:pStyle w:val="Style16"/>
        <w:widowControl w:val="0"/>
        <w:keepNext w:val="0"/>
        <w:keepLines w:val="0"/>
        <w:shd w:val="clear" w:color="auto" w:fill="auto"/>
        <w:bidi w:val="0"/>
        <w:jc w:val="both"/>
        <w:spacing w:before="0" w:after="0" w:line="240" w:lineRule="exact"/>
        <w:ind w:left="840" w:right="0" w:hanging="380"/>
      </w:pPr>
      <w:r>
        <w:pict>
          <v:shape id="_x0000_s1055" type="#_x0000_t202" style="position:absolute;margin-left:22.55pt;margin-top:14.55pt;width:236.65pt;height:87.1pt;z-index:-125829365;mso-wrap-distance-left:17.3pt;mso-wrap-distance-right:53.3pt;mso-wrap-distance-bottom:46.4pt;mso-position-horizontal-relative:margin" filled="f" stroked="f">
            <v:textbox style="mso-fit-shape-to-text:t" inset="0,0,0,0">
              <w:txbxContent>
                <w:p>
                  <w:pPr>
                    <w:pStyle w:val="Style16"/>
                    <w:widowControl w:val="0"/>
                    <w:keepNext w:val="0"/>
                    <w:keepLines w:val="0"/>
                    <w:shd w:val="clear" w:color="auto" w:fill="auto"/>
                    <w:bidi w:val="0"/>
                    <w:jc w:val="both"/>
                    <w:spacing w:before="0" w:after="0" w:line="830" w:lineRule="exact"/>
                    <w:ind w:left="0" w:right="0" w:firstLine="0"/>
                  </w:pPr>
                  <w:r>
                    <w:rPr>
                      <w:rStyle w:val="CharStyle25"/>
                    </w:rPr>
                    <w:t>Wystąpienie pokontrolne liczy łącznie 19 stron. Zielona Góra, dnia /IMlistopada 2019 r.</w:t>
                  </w:r>
                </w:p>
              </w:txbxContent>
            </v:textbox>
            <w10:wrap type="topAndBottom" anchorx="margin"/>
          </v:shape>
        </w:pict>
      </w:r>
      <w:r>
        <w:pict>
          <v:shape id="_x0000_s1056" type="#_x0000_t202" style="position:absolute;margin-left:288.95pt;margin-top:126.95pt;width:22.1pt;height:22.3pt;z-index:-125829364;mso-wrap-distance-left:5.pt;mso-wrap-distance-right:5.pt;mso-position-horizontal-relative:margin" filled="f" stroked="f">
            <v:textbox style="mso-fit-shape-to-text:t" inset="0,0,0,0">
              <w:txbxContent>
                <w:p>
                  <w:pPr>
                    <w:pStyle w:val="Style28"/>
                    <w:widowControl w:val="0"/>
                    <w:keepNext/>
                    <w:keepLines/>
                    <w:shd w:val="clear" w:color="auto" w:fill="auto"/>
                    <w:bidi w:val="0"/>
                    <w:jc w:val="left"/>
                    <w:spacing w:before="0" w:after="0" w:line="240" w:lineRule="exact"/>
                    <w:ind w:left="0" w:right="0" w:firstLine="0"/>
                  </w:pPr>
                  <w:bookmarkStart w:id="2" w:name="bookmark2"/>
                  <w:r>
                    <w:rPr>
                      <w:lang w:val="pl-PL" w:eastAsia="pl-PL" w:bidi="pl-PL"/>
                      <w:sz w:val="24"/>
                      <w:szCs w:val="24"/>
                      <w:w w:val="100"/>
                      <w:spacing w:val="0"/>
                      <w:color w:val="000000"/>
                      <w:position w:val="0"/>
                    </w:rPr>
                    <w:t>•#</w:t>
                  </w:r>
                  <w:bookmarkEnd w:id="2"/>
                </w:p>
              </w:txbxContent>
            </v:textbox>
            <w10:wrap type="topAndBottom" anchorx="margin"/>
          </v:shape>
        </w:pict>
      </w:r>
      <w:r>
        <w:pict>
          <v:shape id="_x0000_s1057" type="#_x0000_t202" style="position:absolute;margin-left:312.5pt;margin-top:92.pt;width:171.85pt;height:50.5pt;z-index:-125829363;mso-wrap-distance-left:5.pt;mso-wrap-distance-right:46.1pt;mso-wrap-distance-bottom:5.6pt;mso-position-horizontal-relative:margin" filled="f" stroked="f">
            <v:textbox style="mso-fit-shape-to-text:t" inset="0,0,0,0">
              <w:txbxContent>
                <w:p>
                  <w:pPr>
                    <w:pStyle w:val="Style16"/>
                    <w:widowControl w:val="0"/>
                    <w:keepNext w:val="0"/>
                    <w:keepLines w:val="0"/>
                    <w:shd w:val="clear" w:color="auto" w:fill="auto"/>
                    <w:bidi w:val="0"/>
                    <w:jc w:val="left"/>
                    <w:spacing w:before="0" w:after="0"/>
                    <w:ind w:left="0" w:right="0" w:firstLine="0"/>
                  </w:pPr>
                  <w:r>
                    <w:rPr>
                      <w:rStyle w:val="CharStyle25"/>
                    </w:rPr>
                    <w:t>Kierownik jednostki kontrolującej</w:t>
                  </w:r>
                </w:p>
                <w:p>
                  <w:pPr>
                    <w:pStyle w:val="Style30"/>
                    <w:widowControl w:val="0"/>
                    <w:keepNext w:val="0"/>
                    <w:keepLines w:val="0"/>
                    <w:shd w:val="clear" w:color="auto" w:fill="auto"/>
                    <w:bidi w:val="0"/>
                    <w:spacing w:before="0" w:after="0"/>
                    <w:ind w:left="40" w:right="0" w:firstLine="0"/>
                  </w:pPr>
                  <w:r>
                    <w:rPr>
                      <w:lang w:val="pl-PL" w:eastAsia="pl-PL" w:bidi="pl-PL"/>
                      <w:w w:val="100"/>
                      <w:color w:val="000000"/>
                      <w:position w:val="0"/>
                    </w:rPr>
                    <w:t>DY/REKTO</w:t>
                  </w:r>
                </w:p>
                <w:p>
                  <w:pPr>
                    <w:pStyle w:val="Style32"/>
                    <w:widowControl w:val="0"/>
                    <w:keepNext w:val="0"/>
                    <w:keepLines w:val="0"/>
                    <w:shd w:val="clear" w:color="auto" w:fill="auto"/>
                    <w:bidi w:val="0"/>
                    <w:jc w:val="left"/>
                    <w:spacing w:before="0" w:after="0" w:line="160" w:lineRule="exact"/>
                    <w:ind w:left="440" w:right="0" w:firstLine="0"/>
                  </w:pPr>
                  <w:r>
                    <w:rPr>
                      <w:rStyle w:val="CharStyle34"/>
                      <w:b w:val="0"/>
                      <w:bCs w:val="0"/>
                    </w:rPr>
                    <w:t xml:space="preserve">IZBY </w:t>
                  </w:r>
                  <w:r>
                    <w:rPr>
                      <w:lang w:val="pl-PL" w:eastAsia="pl-PL" w:bidi="pl-PL"/>
                      <w:w w:val="100"/>
                      <w:spacing w:val="0"/>
                      <w:color w:val="000000"/>
                      <w:position w:val="0"/>
                    </w:rPr>
                    <w:t xml:space="preserve">ADMINISTRACJI </w:t>
                  </w:r>
                  <w:r>
                    <w:rPr>
                      <w:rStyle w:val="CharStyle34"/>
                      <w:b w:val="0"/>
                      <w:bCs w:val="0"/>
                    </w:rPr>
                    <w:t>SKA;</w:t>
                  </w:r>
                </w:p>
                <w:p>
                  <w:pPr>
                    <w:pStyle w:val="Style21"/>
                    <w:widowControl w:val="0"/>
                    <w:keepNext w:val="0"/>
                    <w:keepLines w:val="0"/>
                    <w:shd w:val="clear" w:color="auto" w:fill="auto"/>
                    <w:bidi w:val="0"/>
                    <w:jc w:val="left"/>
                    <w:spacing w:before="0" w:after="0" w:line="160" w:lineRule="exact"/>
                    <w:ind w:left="1280" w:right="0" w:firstLine="0"/>
                  </w:pPr>
                  <w:r>
                    <w:rPr>
                      <w:rStyle w:val="CharStyle35"/>
                    </w:rPr>
                    <w:t>'Zielonej Gór^e</w:t>
                  </w:r>
                </w:p>
              </w:txbxContent>
            </v:textbox>
            <w10:wrap type="topAndBottom" anchorx="margin"/>
          </v:shape>
        </w:pict>
      </w:r>
      <w:r>
        <w:rPr>
          <w:lang w:val="pl-PL" w:eastAsia="pl-PL" w:bidi="pl-PL"/>
          <w:sz w:val="24"/>
          <w:szCs w:val="24"/>
          <w:w w:val="100"/>
          <w:spacing w:val="0"/>
          <w:color w:val="000000"/>
          <w:position w:val="0"/>
        </w:rPr>
        <w:t>podjętych działaniach lub przyczynach ich niepodjęcia wyznacza się do dnia 29 listopada 2019 r.</w:t>
      </w:r>
    </w:p>
    <w:p>
      <w:pPr>
        <w:pStyle w:val="Style44"/>
        <w:widowControl w:val="0"/>
        <w:keepNext w:val="0"/>
        <w:keepLines w:val="0"/>
        <w:shd w:val="clear" w:color="auto" w:fill="auto"/>
        <w:bidi w:val="0"/>
        <w:spacing w:before="0" w:after="0"/>
        <w:ind w:left="0" w:right="1140" w:firstLine="0"/>
      </w:pPr>
      <w:r>
        <w:rPr>
          <w:rStyle w:val="CharStyle46"/>
          <w:i w:val="0"/>
          <w:iCs w:val="0"/>
        </w:rPr>
        <w:t xml:space="preserve">' </w:t>
      </w:r>
      <w:r>
        <w:rPr>
          <w:lang w:val="pl-PL" w:eastAsia="pl-PL" w:bidi="pl-PL"/>
          <w:w w:val="100"/>
          <w:color w:val="000000"/>
          <w:position w:val="0"/>
        </w:rPr>
        <w:t>Adkm. -Jm&amp;rźe]UTc</w:t>
      </w:r>
      <w:r>
        <w:rPr>
          <w:rStyle w:val="CharStyle46"/>
          <w:i w:val="0"/>
          <w:iCs w:val="0"/>
        </w:rPr>
        <w:t>'</w:t>
        <w:br/>
      </w:r>
      <w:r>
        <w:rPr>
          <w:rStyle w:val="CharStyle47"/>
          <w:i w:val="0"/>
          <w:iCs w:val="0"/>
        </w:rPr>
        <w:t>/ (datan podpis)</w:t>
      </w:r>
    </w:p>
    <w:sectPr>
      <w:footerReference w:type="even" r:id="rId40"/>
      <w:footerReference w:type="default" r:id="rId41"/>
      <w:footerReference w:type="first" r:id="rId42"/>
      <w:titlePg/>
      <w:pgSz w:w="12161" w:h="16838"/>
      <w:pgMar w:top="161" w:left="1391" w:right="268" w:bottom="1311" w:header="0" w:footer="3" w:gutter="0"/>
      <w:rtlGutter w:val="0"/>
      <w:cols w:space="720"/>
      <w:noEndnote/>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28" type="#_x0000_t202" style="position:absolute;margin-left:532.8pt;margin-top:796.8pt;width:4.3pt;height:6.95pt;z-index:-188744063;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10.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50" type="#_x0000_t202" style="position:absolute;margin-left:576.2pt;margin-top:798.4pt;width:6.95pt;height:6.7pt;z-index:-188744054;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11.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51" type="#_x0000_t202" style="position:absolute;margin-left:545.7pt;margin-top:780.15pt;width:8.15pt;height:6.7pt;z-index:-188744053;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12.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58" type="#_x0000_t202" style="position:absolute;margin-left:571.65pt;margin-top:803.2pt;width:5.05pt;height:6.7pt;z-index:-188744052;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r>
                  <w:rPr>
                    <w:rStyle w:val="CharStyle24"/>
                  </w:rPr>
                  <w:t>i:</w:t>
                </w:r>
              </w:p>
            </w:txbxContent>
          </v:textbox>
          <w10:wrap anchorx="page" anchory="page"/>
        </v:shape>
      </w:pict>
    </w:r>
  </w:p>
</w:ftr>
</file>

<file path=word/footer13.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59" type="#_x0000_t202" style="position:absolute;margin-left:576.2pt;margin-top:798.4pt;width:6.95pt;height:6.7pt;z-index:-188744051;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14.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60" type="#_x0000_t202" style="position:absolute;margin-left:537.8pt;margin-top:809.7pt;width:8.15pt;height:6.95pt;z-index:-188744050;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2.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29" type="#_x0000_t202" style="position:absolute;margin-left:68.2pt;margin-top:784.35pt;width:323.5pt;height:8.9pt;z-index:-188744062;mso-wrap-distance-left:5.pt;mso-wrap-distance-right:5.pt;mso-position-horizontal-relative:page;mso-position-vertical-relative:page" wrapcoords="0 0" filled="f" stroked="f">
          <v:textbox style="mso-fit-shape-to-text:t" inset="0,0,0,0">
            <w:txbxContent>
              <w:p>
                <w:pPr>
                  <w:pStyle w:val="Style3"/>
                  <w:tabs>
                    <w:tab w:leader="none" w:pos="6470" w:val="right"/>
                  </w:tabs>
                  <w:widowControl w:val="0"/>
                  <w:keepNext w:val="0"/>
                  <w:keepLines w:val="0"/>
                  <w:shd w:val="clear" w:color="auto" w:fill="auto"/>
                  <w:bidi w:val="0"/>
                  <w:jc w:val="left"/>
                  <w:spacing w:before="0" w:after="0" w:line="240" w:lineRule="auto"/>
                  <w:ind w:left="0" w:right="0" w:firstLine="0"/>
                </w:pPr>
                <w:r>
                  <w:rPr>
                    <w:rStyle w:val="CharStyle5"/>
                  </w:rPr>
                  <w:t>tel.: +48 68 456 07 00 | fax: +48 68 456 07 01</w:t>
                  <w:tab/>
                  <w:t xml:space="preserve">e-mail: </w:t>
                </w:r>
                <w:r>
                  <w:rPr>
                    <w:rStyle w:val="CharStyle5"/>
                    <w:lang w:val="en-US" w:eastAsia="en-US" w:bidi="en-US"/>
                  </w:rPr>
                  <w:t>is@lu.mofnet.gov.pl</w:t>
                </w:r>
              </w:p>
            </w:txbxContent>
          </v:textbox>
          <w10:wrap anchorx="page" anchory="page"/>
        </v:shape>
      </w:pict>
    </w:r>
  </w:p>
</w:ftr>
</file>

<file path=word/footer3.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3" type="#_x0000_t202" style="position:absolute;margin-left:585.8pt;margin-top:780.15pt;width:4.1pt;height:6.7pt;z-index:-188744061;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4.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4" type="#_x0000_t202" style="position:absolute;margin-left:585.8pt;margin-top:780.15pt;width:4.1pt;height:6.7pt;z-index:-188744060;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5.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5" type="#_x0000_t202" style="position:absolute;margin-left:576.2pt;margin-top:798.4pt;width:6.95pt;height:6.7pt;z-index:-188744059;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6.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40" type="#_x0000_t202" style="position:absolute;margin-left:546.2pt;margin-top:780.15pt;width:4.1pt;height:6.5pt;z-index:-188744058;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7.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41" type="#_x0000_t202" style="position:absolute;margin-left:576.2pt;margin-top:798.4pt;width:6.95pt;height:6.7pt;z-index:-188744057;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8.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42" type="#_x0000_t202" style="position:absolute;margin-left:568.25pt;margin-top:785.45pt;width:4.3pt;height:6.95pt;z-index:-188744056;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er9.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49" type="#_x0000_t202" style="position:absolute;margin-left:576.2pt;margin-top:798.4pt;width:6.95pt;height:6.7pt;z-index:-188744055;mso-wrap-style:none;mso-wrap-distance-left:5.pt;mso-wrap-distance-right:5.pt;mso-position-horizontal-relative:page;mso-position-vertical-relative:page" wrapcoords="0 0" filled="f" stroked="f">
          <v:textbox style="mso-fit-shape-to-text:t" inset="0,0,0,0">
            <w:txbxContent>
              <w:p>
                <w:pPr>
                  <w:pStyle w:val="Style3"/>
                  <w:widowControl w:val="0"/>
                  <w:keepNext w:val="0"/>
                  <w:keepLines w:val="0"/>
                  <w:shd w:val="clear" w:color="auto" w:fill="auto"/>
                  <w:bidi w:val="0"/>
                  <w:jc w:val="left"/>
                  <w:spacing w:before="0" w:after="0" w:line="240" w:lineRule="auto"/>
                  <w:ind w:left="0" w:right="0" w:firstLine="0"/>
                </w:pPr>
                <w:fldSimple w:instr=" PAGE \* MERGEFORMAT ">
                  <w:r>
                    <w:rPr>
                      <w:rStyle w:val="CharStyle24"/>
                    </w:rPr>
                    <w:t>#</w:t>
                  </w:r>
                </w:fldSimple>
              </w:p>
            </w:txbxContent>
          </v:textbox>
          <w10:wrap anchorx="page" anchory="page"/>
        </v:shape>
      </w:pic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decimal"/>
      <w:lvlText w:val="%1."/>
      <w:rPr>
        <w:lang w:val="pl-PL" w:eastAsia="pl-PL" w:bidi="pl-PL"/>
        <w:b/>
        <w:bCs/>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2">
    <w:multiLevelType w:val="multilevel"/>
    <w:lvl w:ilvl="0">
      <w:start w:val="1"/>
      <w:numFmt w:val="bullet"/>
      <w:lvlText w:val="-"/>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4">
    <w:multiLevelType w:val="multilevel"/>
    <w:lvl w:ilvl="0">
      <w:start w:val="1"/>
      <w:numFmt w:val="bullet"/>
      <w:lvlText w:val="•"/>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6">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8">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10">
    <w:multiLevelType w:val="multilevel"/>
    <w:lvl w:ilvl="0">
      <w:start w:val="0"/>
      <w:numFmt w:val="decimal"/>
      <w:lvlText w:val="%1"/>
      <w:rPr>
        <w:lang w:val="pl-PL" w:eastAsia="pl-PL" w:bidi="pl-PL"/>
        <w:b w:val="0"/>
        <w:bCs w:val="0"/>
        <w:i/>
        <w:iCs/>
        <w:u w:val="none"/>
        <w:strike w:val="0"/>
        <w:smallCaps w:val="0"/>
        <w:sz w:val="24"/>
        <w:szCs w:val="24"/>
        <w:rFonts w:ascii="Times New Roman" w:eastAsia="Times New Roman" w:hAnsi="Times New Roman" w:cs="Times New Roman"/>
        <w:w w:val="100"/>
        <w:spacing w:val="0"/>
        <w:color w:val="000000"/>
        <w:position w:val="0"/>
      </w:rPr>
    </w:lvl>
  </w:abstractNum>
  <w:abstractNum w:abstractNumId="12">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14">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16">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18">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20">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22">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abstractNum w:abstractNumId="24">
    <w:multiLevelType w:val="multilevel"/>
    <w:lvl w:ilvl="0">
      <w:start w:val="1"/>
      <w:numFmt w:val="decimal"/>
      <w:lvlText w:val="%1."/>
      <w:rPr>
        <w:lang w:val="pl-PL" w:eastAsia="pl-PL" w:bidi="pl-PL"/>
        <w:b w:val="0"/>
        <w:bCs w:val="0"/>
        <w:i w:val="0"/>
        <w:iCs w:val="0"/>
        <w:u w:val="none"/>
        <w:strike w:val="0"/>
        <w:smallCaps w:val="0"/>
        <w:sz w:val="24"/>
        <w:szCs w:val="24"/>
        <w:rFonts w:ascii="Times New Roman" w:eastAsia="Times New Roman" w:hAnsi="Times New Roman" w:cs="Times New Roman"/>
        <w:w w:val="100"/>
        <w:spacing w:val="0"/>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pos w:val="pageBottom"/>
    <w:numFmt w:val="decimal"/>
    <w:numRestart w:val="continuous"/>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pl-PL" w:eastAsia="pl-PL" w:bidi="pl-PL"/>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pl-PL" w:eastAsia="pl-PL" w:bidi="pl-PL"/>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pl-PL" w:eastAsia="pl-PL" w:bidi="pl-PL"/>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0080"/>
    </w:rPr>
  </w:style>
  <w:style w:type="character" w:customStyle="1" w:styleId="CharStyle4">
    <w:name w:val="Nagłówek lub stopka_"/>
    <w:basedOn w:val="DefaultParagraphFont"/>
    <w:link w:val="Style3"/>
    <w:rPr>
      <w:b w:val="0"/>
      <w:bCs w:val="0"/>
      <w:i w:val="0"/>
      <w:iCs w:val="0"/>
      <w:u w:val="none"/>
      <w:strike w:val="0"/>
      <w:smallCaps w:val="0"/>
      <w:sz w:val="15"/>
      <w:szCs w:val="15"/>
      <w:rFonts w:ascii="Microsoft Sans Serif" w:eastAsia="Microsoft Sans Serif" w:hAnsi="Microsoft Sans Serif" w:cs="Microsoft Sans Serif"/>
    </w:rPr>
  </w:style>
  <w:style w:type="character" w:customStyle="1" w:styleId="CharStyle5">
    <w:name w:val="Nagłówek lub stopka"/>
    <w:basedOn w:val="CharStyle4"/>
    <w:rPr>
      <w:lang w:val="pl-PL" w:eastAsia="pl-PL" w:bidi="pl-PL"/>
      <w:w w:val="100"/>
      <w:spacing w:val="0"/>
      <w:color w:val="000000"/>
      <w:position w:val="0"/>
    </w:rPr>
  </w:style>
  <w:style w:type="character" w:customStyle="1" w:styleId="CharStyle7">
    <w:name w:val="Tekst treści (3) Exact"/>
    <w:basedOn w:val="DefaultParagraphFont"/>
    <w:link w:val="Style6"/>
    <w:rPr>
      <w:b w:val="0"/>
      <w:bCs w:val="0"/>
      <w:i w:val="0"/>
      <w:iCs w:val="0"/>
      <w:u w:val="none"/>
      <w:strike w:val="0"/>
      <w:smallCaps w:val="0"/>
      <w:sz w:val="15"/>
      <w:szCs w:val="15"/>
      <w:rFonts w:ascii="Microsoft Sans Serif" w:eastAsia="Microsoft Sans Serif" w:hAnsi="Microsoft Sans Serif" w:cs="Microsoft Sans Serif"/>
    </w:rPr>
  </w:style>
  <w:style w:type="character" w:customStyle="1" w:styleId="CharStyle8">
    <w:name w:val="Tekst treści (3) + 8 pt,Pogrubienie Exact"/>
    <w:basedOn w:val="CharStyle7"/>
    <w:rPr>
      <w:lang w:val="pl-PL" w:eastAsia="pl-PL" w:bidi="pl-PL"/>
      <w:b/>
      <w:bCs/>
      <w:sz w:val="16"/>
      <w:szCs w:val="16"/>
      <w:w w:val="100"/>
      <w:spacing w:val="0"/>
      <w:color w:val="000000"/>
      <w:position w:val="0"/>
    </w:rPr>
  </w:style>
  <w:style w:type="character" w:customStyle="1" w:styleId="CharStyle10">
    <w:name w:val="Podpis obrazu (2) Exact"/>
    <w:basedOn w:val="DefaultParagraphFont"/>
    <w:link w:val="Style9"/>
    <w:rPr>
      <w:b w:val="0"/>
      <w:bCs w:val="0"/>
      <w:i w:val="0"/>
      <w:iCs w:val="0"/>
      <w:u w:val="none"/>
      <w:strike w:val="0"/>
      <w:smallCaps w:val="0"/>
      <w:sz w:val="19"/>
      <w:szCs w:val="19"/>
      <w:rFonts w:ascii="Times New Roman" w:eastAsia="Times New Roman" w:hAnsi="Times New Roman" w:cs="Times New Roman"/>
    </w:rPr>
  </w:style>
  <w:style w:type="character" w:customStyle="1" w:styleId="CharStyle11">
    <w:name w:val="Podpis obrazu (2) + Kursywa,Odstępy 0 pt Exact"/>
    <w:basedOn w:val="CharStyle10"/>
    <w:rPr>
      <w:lang w:val="pl-PL" w:eastAsia="pl-PL" w:bidi="pl-PL"/>
      <w:i/>
      <w:iCs/>
      <w:w w:val="100"/>
      <w:spacing w:val="-10"/>
      <w:color w:val="000000"/>
      <w:position w:val="0"/>
    </w:rPr>
  </w:style>
  <w:style w:type="character" w:customStyle="1" w:styleId="CharStyle13">
    <w:name w:val="Podpis obrazu Exact"/>
    <w:basedOn w:val="DefaultParagraphFont"/>
    <w:link w:val="Style12"/>
    <w:rPr>
      <w:b w:val="0"/>
      <w:bCs w:val="0"/>
      <w:i w:val="0"/>
      <w:iCs w:val="0"/>
      <w:u w:val="none"/>
      <w:strike w:val="0"/>
      <w:smallCaps w:val="0"/>
      <w:sz w:val="9"/>
      <w:szCs w:val="9"/>
      <w:rFonts w:ascii="Microsoft Sans Serif" w:eastAsia="Microsoft Sans Serif" w:hAnsi="Microsoft Sans Serif" w:cs="Microsoft Sans Serif"/>
    </w:rPr>
  </w:style>
  <w:style w:type="character" w:customStyle="1" w:styleId="CharStyle15">
    <w:name w:val="Tekst treści (4)_"/>
    <w:basedOn w:val="DefaultParagraphFont"/>
    <w:link w:val="Style14"/>
    <w:rPr>
      <w:b/>
      <w:bCs/>
      <w:i w:val="0"/>
      <w:iCs w:val="0"/>
      <w:u w:val="none"/>
      <w:strike w:val="0"/>
      <w:smallCaps w:val="0"/>
      <w:rFonts w:ascii="Times New Roman" w:eastAsia="Times New Roman" w:hAnsi="Times New Roman" w:cs="Times New Roman"/>
    </w:rPr>
  </w:style>
  <w:style w:type="character" w:customStyle="1" w:styleId="CharStyle17">
    <w:name w:val="Tekst treści (2)_"/>
    <w:basedOn w:val="DefaultParagraphFont"/>
    <w:link w:val="Style16"/>
    <w:rPr>
      <w:b w:val="0"/>
      <w:bCs w:val="0"/>
      <w:i w:val="0"/>
      <w:iCs w:val="0"/>
      <w:u w:val="none"/>
      <w:strike w:val="0"/>
      <w:smallCaps w:val="0"/>
      <w:rFonts w:ascii="Times New Roman" w:eastAsia="Times New Roman" w:hAnsi="Times New Roman" w:cs="Times New Roman"/>
    </w:rPr>
  </w:style>
  <w:style w:type="character" w:customStyle="1" w:styleId="CharStyle18">
    <w:name w:val="Tekst treści (2) + Kursywa"/>
    <w:basedOn w:val="CharStyle17"/>
    <w:rPr>
      <w:lang w:val="pl-PL" w:eastAsia="pl-PL" w:bidi="pl-PL"/>
      <w:i/>
      <w:iCs/>
      <w:sz w:val="24"/>
      <w:szCs w:val="24"/>
      <w:w w:val="100"/>
      <w:spacing w:val="0"/>
      <w:color w:val="000000"/>
      <w:position w:val="0"/>
    </w:rPr>
  </w:style>
  <w:style w:type="character" w:customStyle="1" w:styleId="CharStyle20">
    <w:name w:val="Nagłówek #2_"/>
    <w:basedOn w:val="DefaultParagraphFont"/>
    <w:link w:val="Style19"/>
    <w:rPr>
      <w:b/>
      <w:bCs/>
      <w:i w:val="0"/>
      <w:iCs w:val="0"/>
      <w:u w:val="none"/>
      <w:strike w:val="0"/>
      <w:smallCaps w:val="0"/>
      <w:rFonts w:ascii="Times New Roman" w:eastAsia="Times New Roman" w:hAnsi="Times New Roman" w:cs="Times New Roman"/>
    </w:rPr>
  </w:style>
  <w:style w:type="character" w:customStyle="1" w:styleId="CharStyle22">
    <w:name w:val="Tekst treści (5)_"/>
    <w:basedOn w:val="DefaultParagraphFont"/>
    <w:link w:val="Style21"/>
    <w:rPr>
      <w:lang w:val="en-US" w:eastAsia="en-US" w:bidi="en-US"/>
      <w:b w:val="0"/>
      <w:bCs w:val="0"/>
      <w:i w:val="0"/>
      <w:iCs w:val="0"/>
      <w:u w:val="none"/>
      <w:strike w:val="0"/>
      <w:smallCaps w:val="0"/>
      <w:sz w:val="16"/>
      <w:szCs w:val="16"/>
      <w:rFonts w:ascii="Microsoft Sans Serif" w:eastAsia="Microsoft Sans Serif" w:hAnsi="Microsoft Sans Serif" w:cs="Microsoft Sans Serif"/>
    </w:rPr>
  </w:style>
  <w:style w:type="character" w:customStyle="1" w:styleId="CharStyle23">
    <w:name w:val="Tekst treści (5)"/>
    <w:basedOn w:val="CharStyle22"/>
    <w:rPr>
      <w:u w:val="single"/>
      <w:w w:val="100"/>
      <w:spacing w:val="0"/>
      <w:color w:val="000000"/>
      <w:position w:val="0"/>
    </w:rPr>
  </w:style>
  <w:style w:type="character" w:customStyle="1" w:styleId="CharStyle24">
    <w:name w:val="Nagłówek lub stopka + Times New Roman,9,5 pt"/>
    <w:basedOn w:val="CharStyle4"/>
    <w:rPr>
      <w:lang w:val="pl-PL" w:eastAsia="pl-PL" w:bidi="pl-PL"/>
      <w:sz w:val="19"/>
      <w:szCs w:val="19"/>
      <w:rFonts w:ascii="Times New Roman" w:eastAsia="Times New Roman" w:hAnsi="Times New Roman" w:cs="Times New Roman"/>
      <w:w w:val="100"/>
      <w:spacing w:val="0"/>
      <w:color w:val="000000"/>
      <w:position w:val="0"/>
    </w:rPr>
  </w:style>
  <w:style w:type="character" w:customStyle="1" w:styleId="CharStyle25">
    <w:name w:val="Tekst treści (2) Exact"/>
    <w:basedOn w:val="DefaultParagraphFont"/>
    <w:rPr>
      <w:b w:val="0"/>
      <w:bCs w:val="0"/>
      <w:i w:val="0"/>
      <w:iCs w:val="0"/>
      <w:u w:val="none"/>
      <w:strike w:val="0"/>
      <w:smallCaps w:val="0"/>
      <w:rFonts w:ascii="Times New Roman" w:eastAsia="Times New Roman" w:hAnsi="Times New Roman" w:cs="Times New Roman"/>
    </w:rPr>
  </w:style>
  <w:style w:type="character" w:customStyle="1" w:styleId="CharStyle27">
    <w:name w:val="Tekst treści (6) Exact"/>
    <w:basedOn w:val="DefaultParagraphFont"/>
    <w:rPr>
      <w:b w:val="0"/>
      <w:bCs w:val="0"/>
      <w:i/>
      <w:iCs/>
      <w:u w:val="none"/>
      <w:strike w:val="0"/>
      <w:smallCaps w:val="0"/>
      <w:rFonts w:ascii="Times New Roman" w:eastAsia="Times New Roman" w:hAnsi="Times New Roman" w:cs="Times New Roman"/>
    </w:rPr>
  </w:style>
  <w:style w:type="character" w:customStyle="1" w:styleId="CharStyle29">
    <w:name w:val="Nagłówek #1 Exact"/>
    <w:basedOn w:val="DefaultParagraphFont"/>
    <w:link w:val="Style28"/>
    <w:rPr>
      <w:b w:val="0"/>
      <w:bCs w:val="0"/>
      <w:i w:val="0"/>
      <w:iCs w:val="0"/>
      <w:u w:val="none"/>
      <w:strike w:val="0"/>
      <w:smallCaps w:val="0"/>
      <w:rFonts w:ascii="Times New Roman" w:eastAsia="Times New Roman" w:hAnsi="Times New Roman" w:cs="Times New Roman"/>
    </w:rPr>
  </w:style>
  <w:style w:type="character" w:customStyle="1" w:styleId="CharStyle31">
    <w:name w:val="Tekst treści (8) Exact"/>
    <w:basedOn w:val="DefaultParagraphFont"/>
    <w:link w:val="Style30"/>
    <w:rPr>
      <w:b w:val="0"/>
      <w:bCs w:val="0"/>
      <w:i w:val="0"/>
      <w:iCs w:val="0"/>
      <w:u w:val="none"/>
      <w:strike w:val="0"/>
      <w:smallCaps w:val="0"/>
      <w:sz w:val="24"/>
      <w:szCs w:val="24"/>
      <w:rFonts w:ascii="Times New Roman" w:eastAsia="Times New Roman" w:hAnsi="Times New Roman" w:cs="Times New Roman"/>
      <w:spacing w:val="50"/>
    </w:rPr>
  </w:style>
  <w:style w:type="character" w:customStyle="1" w:styleId="CharStyle33">
    <w:name w:val="Tekst treści (9) Exact"/>
    <w:basedOn w:val="DefaultParagraphFont"/>
    <w:link w:val="Style32"/>
    <w:rPr>
      <w:b/>
      <w:bCs/>
      <w:i w:val="0"/>
      <w:iCs w:val="0"/>
      <w:u w:val="none"/>
      <w:strike w:val="0"/>
      <w:smallCaps w:val="0"/>
      <w:sz w:val="16"/>
      <w:szCs w:val="16"/>
      <w:rFonts w:ascii="Microsoft Sans Serif" w:eastAsia="Microsoft Sans Serif" w:hAnsi="Microsoft Sans Serif" w:cs="Microsoft Sans Serif"/>
    </w:rPr>
  </w:style>
  <w:style w:type="character" w:customStyle="1" w:styleId="CharStyle34">
    <w:name w:val="Tekst treści (9) + Geneva,Bez pogrubienia Exact"/>
    <w:basedOn w:val="CharStyle33"/>
    <w:rPr>
      <w:lang w:val="pl-PL" w:eastAsia="pl-PL" w:bidi="pl-PL"/>
      <w:b/>
      <w:bCs/>
      <w:sz w:val="16"/>
      <w:szCs w:val="16"/>
      <w:rFonts w:ascii="Geneva" w:eastAsia="Geneva" w:hAnsi="Geneva" w:cs="Geneva"/>
      <w:w w:val="100"/>
      <w:spacing w:val="0"/>
      <w:color w:val="000000"/>
      <w:position w:val="0"/>
    </w:rPr>
  </w:style>
  <w:style w:type="character" w:customStyle="1" w:styleId="CharStyle35">
    <w:name w:val="Tekst treści (5) Exact"/>
    <w:basedOn w:val="DefaultParagraphFont"/>
    <w:rPr>
      <w:b w:val="0"/>
      <w:bCs w:val="0"/>
      <w:i w:val="0"/>
      <w:iCs w:val="0"/>
      <w:u w:val="none"/>
      <w:strike w:val="0"/>
      <w:smallCaps w:val="0"/>
      <w:sz w:val="16"/>
      <w:szCs w:val="16"/>
      <w:rFonts w:ascii="Microsoft Sans Serif" w:eastAsia="Microsoft Sans Serif" w:hAnsi="Microsoft Sans Serif" w:cs="Microsoft Sans Serif"/>
    </w:rPr>
  </w:style>
  <w:style w:type="character" w:customStyle="1" w:styleId="CharStyle36">
    <w:name w:val="Tekst treści (6)_"/>
    <w:basedOn w:val="DefaultParagraphFont"/>
    <w:link w:val="Style26"/>
    <w:rPr>
      <w:b w:val="0"/>
      <w:bCs w:val="0"/>
      <w:i/>
      <w:iCs/>
      <w:u w:val="none"/>
      <w:strike w:val="0"/>
      <w:smallCaps w:val="0"/>
      <w:rFonts w:ascii="Times New Roman" w:eastAsia="Times New Roman" w:hAnsi="Times New Roman" w:cs="Times New Roman"/>
    </w:rPr>
  </w:style>
  <w:style w:type="character" w:customStyle="1" w:styleId="CharStyle37">
    <w:name w:val="Tekst treści (6) + Bez kursywy"/>
    <w:basedOn w:val="CharStyle36"/>
    <w:rPr>
      <w:lang w:val="pl-PL" w:eastAsia="pl-PL" w:bidi="pl-PL"/>
      <w:i/>
      <w:iCs/>
      <w:sz w:val="24"/>
      <w:szCs w:val="24"/>
      <w:w w:val="100"/>
      <w:spacing w:val="0"/>
      <w:color w:val="000000"/>
      <w:position w:val="0"/>
    </w:rPr>
  </w:style>
  <w:style w:type="character" w:customStyle="1" w:styleId="CharStyle38">
    <w:name w:val="Tekst treści (6) + Odstępy 1 pt"/>
    <w:basedOn w:val="CharStyle36"/>
    <w:rPr>
      <w:lang w:val="pl-PL" w:eastAsia="pl-PL" w:bidi="pl-PL"/>
      <w:sz w:val="24"/>
      <w:szCs w:val="24"/>
      <w:w w:val="100"/>
      <w:spacing w:val="30"/>
      <w:color w:val="000000"/>
      <w:position w:val="0"/>
    </w:rPr>
  </w:style>
  <w:style w:type="character" w:customStyle="1" w:styleId="CharStyle39">
    <w:name w:val="Tekst treści (2)"/>
    <w:basedOn w:val="CharStyle17"/>
    <w:rPr>
      <w:lang w:val="pl-PL" w:eastAsia="pl-PL" w:bidi="pl-PL"/>
      <w:u w:val="single"/>
      <w:sz w:val="24"/>
      <w:szCs w:val="24"/>
      <w:w w:val="100"/>
      <w:spacing w:val="0"/>
      <w:color w:val="000000"/>
      <w:position w:val="0"/>
    </w:rPr>
  </w:style>
  <w:style w:type="character" w:customStyle="1" w:styleId="CharStyle41">
    <w:name w:val="Tekst treści (7)_"/>
    <w:basedOn w:val="DefaultParagraphFont"/>
    <w:link w:val="Style40"/>
    <w:rPr>
      <w:b w:val="0"/>
      <w:bCs w:val="0"/>
      <w:i w:val="0"/>
      <w:iCs w:val="0"/>
      <w:u w:val="none"/>
      <w:strike w:val="0"/>
      <w:smallCaps w:val="0"/>
      <w:sz w:val="8"/>
      <w:szCs w:val="8"/>
      <w:rFonts w:ascii="Geneva" w:eastAsia="Geneva" w:hAnsi="Geneva" w:cs="Geneva"/>
    </w:rPr>
  </w:style>
  <w:style w:type="character" w:customStyle="1" w:styleId="CharStyle42">
    <w:name w:val="Tekst treści (2) + Pogrubienie"/>
    <w:basedOn w:val="CharStyle17"/>
    <w:rPr>
      <w:lang w:val="pl-PL" w:eastAsia="pl-PL" w:bidi="pl-PL"/>
      <w:b/>
      <w:bCs/>
      <w:sz w:val="24"/>
      <w:szCs w:val="24"/>
      <w:w w:val="100"/>
      <w:spacing w:val="0"/>
      <w:color w:val="000000"/>
      <w:position w:val="0"/>
    </w:rPr>
  </w:style>
  <w:style w:type="character" w:customStyle="1" w:styleId="CharStyle43">
    <w:name w:val="Tekst treści (2) + 11 pt"/>
    <w:basedOn w:val="CharStyle17"/>
    <w:rPr>
      <w:lang w:val="pl-PL" w:eastAsia="pl-PL" w:bidi="pl-PL"/>
      <w:sz w:val="22"/>
      <w:szCs w:val="22"/>
      <w:w w:val="100"/>
      <w:spacing w:val="0"/>
      <w:color w:val="000000"/>
      <w:position w:val="0"/>
    </w:rPr>
  </w:style>
  <w:style w:type="character" w:customStyle="1" w:styleId="CharStyle45">
    <w:name w:val="Tekst treści (10)_"/>
    <w:basedOn w:val="DefaultParagraphFont"/>
    <w:link w:val="Style44"/>
    <w:rPr>
      <w:b w:val="0"/>
      <w:bCs w:val="0"/>
      <w:i/>
      <w:iCs/>
      <w:u w:val="none"/>
      <w:strike w:val="0"/>
      <w:smallCaps w:val="0"/>
      <w:sz w:val="21"/>
      <w:szCs w:val="21"/>
      <w:rFonts w:ascii="Verdana" w:eastAsia="Verdana" w:hAnsi="Verdana" w:cs="Verdana"/>
      <w:spacing w:val="-20"/>
    </w:rPr>
  </w:style>
  <w:style w:type="character" w:customStyle="1" w:styleId="CharStyle46">
    <w:name w:val="Tekst treści (10) + Times New Roman,4 pt,Bez kursywy,Odstępy 0 pt"/>
    <w:basedOn w:val="CharStyle45"/>
    <w:rPr>
      <w:lang w:val="pl-PL" w:eastAsia="pl-PL" w:bidi="pl-PL"/>
      <w:i/>
      <w:iCs/>
      <w:sz w:val="8"/>
      <w:szCs w:val="8"/>
      <w:rFonts w:ascii="Times New Roman" w:eastAsia="Times New Roman" w:hAnsi="Times New Roman" w:cs="Times New Roman"/>
      <w:w w:val="100"/>
      <w:spacing w:val="0"/>
      <w:color w:val="000000"/>
      <w:position w:val="0"/>
    </w:rPr>
  </w:style>
  <w:style w:type="character" w:customStyle="1" w:styleId="CharStyle47">
    <w:name w:val="Tekst treści (10) + Times New Roman,9,5 pt,Bez kursywy,Odstępy 0 pt"/>
    <w:basedOn w:val="CharStyle45"/>
    <w:rPr>
      <w:lang w:val="pl-PL" w:eastAsia="pl-PL" w:bidi="pl-PL"/>
      <w:i/>
      <w:iCs/>
      <w:sz w:val="19"/>
      <w:szCs w:val="19"/>
      <w:rFonts w:ascii="Times New Roman" w:eastAsia="Times New Roman" w:hAnsi="Times New Roman" w:cs="Times New Roman"/>
      <w:w w:val="100"/>
      <w:spacing w:val="0"/>
      <w:color w:val="000000"/>
      <w:position w:val="0"/>
    </w:rPr>
  </w:style>
  <w:style w:type="paragraph" w:customStyle="1" w:styleId="Style3">
    <w:name w:val="Nagłówek lub stopka"/>
    <w:basedOn w:val="Normal"/>
    <w:link w:val="CharStyle4"/>
    <w:pPr>
      <w:widowControl w:val="0"/>
      <w:shd w:val="clear" w:color="auto" w:fill="FFFFFF"/>
      <w:spacing w:line="0" w:lineRule="exact"/>
    </w:pPr>
    <w:rPr>
      <w:b w:val="0"/>
      <w:bCs w:val="0"/>
      <w:i w:val="0"/>
      <w:iCs w:val="0"/>
      <w:u w:val="none"/>
      <w:strike w:val="0"/>
      <w:smallCaps w:val="0"/>
      <w:sz w:val="15"/>
      <w:szCs w:val="15"/>
      <w:rFonts w:ascii="Microsoft Sans Serif" w:eastAsia="Microsoft Sans Serif" w:hAnsi="Microsoft Sans Serif" w:cs="Microsoft Sans Serif"/>
    </w:rPr>
  </w:style>
  <w:style w:type="paragraph" w:customStyle="1" w:styleId="Style6">
    <w:name w:val="Tekst treści (3)"/>
    <w:basedOn w:val="Normal"/>
    <w:link w:val="CharStyle7"/>
    <w:pPr>
      <w:widowControl w:val="0"/>
      <w:shd w:val="clear" w:color="auto" w:fill="FFFFFF"/>
      <w:jc w:val="right"/>
      <w:spacing w:line="182" w:lineRule="exact"/>
    </w:pPr>
    <w:rPr>
      <w:b w:val="0"/>
      <w:bCs w:val="0"/>
      <w:i w:val="0"/>
      <w:iCs w:val="0"/>
      <w:u w:val="none"/>
      <w:strike w:val="0"/>
      <w:smallCaps w:val="0"/>
      <w:sz w:val="15"/>
      <w:szCs w:val="15"/>
      <w:rFonts w:ascii="Microsoft Sans Serif" w:eastAsia="Microsoft Sans Serif" w:hAnsi="Microsoft Sans Serif" w:cs="Microsoft Sans Serif"/>
    </w:rPr>
  </w:style>
  <w:style w:type="paragraph" w:customStyle="1" w:styleId="Style9">
    <w:name w:val="Podpis obrazu (2)"/>
    <w:basedOn w:val="Normal"/>
    <w:link w:val="CharStyle10"/>
    <w:pPr>
      <w:widowControl w:val="0"/>
      <w:shd w:val="clear" w:color="auto" w:fill="FFFFFF"/>
      <w:jc w:val="both"/>
      <w:spacing w:line="0" w:lineRule="exact"/>
    </w:pPr>
    <w:rPr>
      <w:b w:val="0"/>
      <w:bCs w:val="0"/>
      <w:i w:val="0"/>
      <w:iCs w:val="0"/>
      <w:u w:val="none"/>
      <w:strike w:val="0"/>
      <w:smallCaps w:val="0"/>
      <w:sz w:val="19"/>
      <w:szCs w:val="19"/>
      <w:rFonts w:ascii="Times New Roman" w:eastAsia="Times New Roman" w:hAnsi="Times New Roman" w:cs="Times New Roman"/>
    </w:rPr>
  </w:style>
  <w:style w:type="paragraph" w:customStyle="1" w:styleId="Style12">
    <w:name w:val="Podpis obrazu"/>
    <w:basedOn w:val="Normal"/>
    <w:link w:val="CharStyle13"/>
    <w:pPr>
      <w:widowControl w:val="0"/>
      <w:shd w:val="clear" w:color="auto" w:fill="FFFFFF"/>
      <w:jc w:val="both"/>
      <w:spacing w:line="0" w:lineRule="exact"/>
    </w:pPr>
    <w:rPr>
      <w:b w:val="0"/>
      <w:bCs w:val="0"/>
      <w:i w:val="0"/>
      <w:iCs w:val="0"/>
      <w:u w:val="none"/>
      <w:strike w:val="0"/>
      <w:smallCaps w:val="0"/>
      <w:sz w:val="9"/>
      <w:szCs w:val="9"/>
      <w:rFonts w:ascii="Microsoft Sans Serif" w:eastAsia="Microsoft Sans Serif" w:hAnsi="Microsoft Sans Serif" w:cs="Microsoft Sans Serif"/>
    </w:rPr>
  </w:style>
  <w:style w:type="paragraph" w:customStyle="1" w:styleId="Style14">
    <w:name w:val="Tekst treści (4)"/>
    <w:basedOn w:val="Normal"/>
    <w:link w:val="CharStyle15"/>
    <w:pPr>
      <w:widowControl w:val="0"/>
      <w:shd w:val="clear" w:color="auto" w:fill="FFFFFF"/>
      <w:spacing w:after="540" w:line="274" w:lineRule="exact"/>
      <w:ind w:hanging="620"/>
    </w:pPr>
    <w:rPr>
      <w:b/>
      <w:bCs/>
      <w:i w:val="0"/>
      <w:iCs w:val="0"/>
      <w:u w:val="none"/>
      <w:strike w:val="0"/>
      <w:smallCaps w:val="0"/>
      <w:rFonts w:ascii="Times New Roman" w:eastAsia="Times New Roman" w:hAnsi="Times New Roman" w:cs="Times New Roman"/>
    </w:rPr>
  </w:style>
  <w:style w:type="paragraph" w:customStyle="1" w:styleId="Style16">
    <w:name w:val="Tekst treści (2)"/>
    <w:basedOn w:val="Normal"/>
    <w:link w:val="CharStyle17"/>
    <w:pPr>
      <w:widowControl w:val="0"/>
      <w:shd w:val="clear" w:color="auto" w:fill="FFFFFF"/>
      <w:spacing w:before="540" w:after="540" w:line="269" w:lineRule="exact"/>
      <w:ind w:hanging="440"/>
    </w:pPr>
    <w:rPr>
      <w:b w:val="0"/>
      <w:bCs w:val="0"/>
      <w:i w:val="0"/>
      <w:iCs w:val="0"/>
      <w:u w:val="none"/>
      <w:strike w:val="0"/>
      <w:smallCaps w:val="0"/>
      <w:rFonts w:ascii="Times New Roman" w:eastAsia="Times New Roman" w:hAnsi="Times New Roman" w:cs="Times New Roman"/>
    </w:rPr>
  </w:style>
  <w:style w:type="paragraph" w:customStyle="1" w:styleId="Style19">
    <w:name w:val="Nagłówek #2"/>
    <w:basedOn w:val="Normal"/>
    <w:link w:val="CharStyle20"/>
    <w:pPr>
      <w:widowControl w:val="0"/>
      <w:shd w:val="clear" w:color="auto" w:fill="FFFFFF"/>
      <w:outlineLvl w:val="1"/>
      <w:spacing w:before="300" w:line="269" w:lineRule="exact"/>
      <w:ind w:hanging="440"/>
    </w:pPr>
    <w:rPr>
      <w:b/>
      <w:bCs/>
      <w:i w:val="0"/>
      <w:iCs w:val="0"/>
      <w:u w:val="none"/>
      <w:strike w:val="0"/>
      <w:smallCaps w:val="0"/>
      <w:rFonts w:ascii="Times New Roman" w:eastAsia="Times New Roman" w:hAnsi="Times New Roman" w:cs="Times New Roman"/>
    </w:rPr>
  </w:style>
  <w:style w:type="paragraph" w:customStyle="1" w:styleId="Style21">
    <w:name w:val="Tekst treści (5)"/>
    <w:basedOn w:val="Normal"/>
    <w:link w:val="CharStyle22"/>
    <w:pPr>
      <w:widowControl w:val="0"/>
      <w:shd w:val="clear" w:color="auto" w:fill="FFFFFF"/>
      <w:spacing w:line="0" w:lineRule="exact"/>
    </w:pPr>
    <w:rPr>
      <w:lang w:val="en-US" w:eastAsia="en-US" w:bidi="en-US"/>
      <w:b w:val="0"/>
      <w:bCs w:val="0"/>
      <w:i w:val="0"/>
      <w:iCs w:val="0"/>
      <w:u w:val="none"/>
      <w:strike w:val="0"/>
      <w:smallCaps w:val="0"/>
      <w:sz w:val="16"/>
      <w:szCs w:val="16"/>
      <w:rFonts w:ascii="Microsoft Sans Serif" w:eastAsia="Microsoft Sans Serif" w:hAnsi="Microsoft Sans Serif" w:cs="Microsoft Sans Serif"/>
    </w:rPr>
  </w:style>
  <w:style w:type="paragraph" w:customStyle="1" w:styleId="Style26">
    <w:name w:val="Tekst treści (6)"/>
    <w:basedOn w:val="Normal"/>
    <w:link w:val="CharStyle36"/>
    <w:pPr>
      <w:widowControl w:val="0"/>
      <w:shd w:val="clear" w:color="auto" w:fill="FFFFFF"/>
      <w:jc w:val="both"/>
      <w:spacing w:before="180" w:line="274" w:lineRule="exact"/>
    </w:pPr>
    <w:rPr>
      <w:b w:val="0"/>
      <w:bCs w:val="0"/>
      <w:i/>
      <w:iCs/>
      <w:u w:val="none"/>
      <w:strike w:val="0"/>
      <w:smallCaps w:val="0"/>
      <w:rFonts w:ascii="Times New Roman" w:eastAsia="Times New Roman" w:hAnsi="Times New Roman" w:cs="Times New Roman"/>
    </w:rPr>
  </w:style>
  <w:style w:type="paragraph" w:customStyle="1" w:styleId="Style28">
    <w:name w:val="Nagłówek #1"/>
    <w:basedOn w:val="Normal"/>
    <w:link w:val="CharStyle29"/>
    <w:pPr>
      <w:widowControl w:val="0"/>
      <w:shd w:val="clear" w:color="auto" w:fill="FFFFFF"/>
      <w:outlineLvl w:val="0"/>
      <w:spacing w:line="0" w:lineRule="exact"/>
    </w:pPr>
    <w:rPr>
      <w:b w:val="0"/>
      <w:bCs w:val="0"/>
      <w:i w:val="0"/>
      <w:iCs w:val="0"/>
      <w:u w:val="none"/>
      <w:strike w:val="0"/>
      <w:smallCaps w:val="0"/>
      <w:rFonts w:ascii="Times New Roman" w:eastAsia="Times New Roman" w:hAnsi="Times New Roman" w:cs="Times New Roman"/>
    </w:rPr>
  </w:style>
  <w:style w:type="paragraph" w:customStyle="1" w:styleId="Style30">
    <w:name w:val="Tekst treści (8)"/>
    <w:basedOn w:val="Normal"/>
    <w:link w:val="CharStyle31"/>
    <w:pPr>
      <w:widowControl w:val="0"/>
      <w:shd w:val="clear" w:color="auto" w:fill="FFFFFF"/>
      <w:jc w:val="center"/>
      <w:spacing w:line="269" w:lineRule="exact"/>
    </w:pPr>
    <w:rPr>
      <w:b w:val="0"/>
      <w:bCs w:val="0"/>
      <w:i w:val="0"/>
      <w:iCs w:val="0"/>
      <w:u w:val="none"/>
      <w:strike w:val="0"/>
      <w:smallCaps w:val="0"/>
      <w:sz w:val="24"/>
      <w:szCs w:val="24"/>
      <w:rFonts w:ascii="Times New Roman" w:eastAsia="Times New Roman" w:hAnsi="Times New Roman" w:cs="Times New Roman"/>
      <w:spacing w:val="50"/>
    </w:rPr>
  </w:style>
  <w:style w:type="paragraph" w:customStyle="1" w:styleId="Style32">
    <w:name w:val="Tekst treści (9)"/>
    <w:basedOn w:val="Normal"/>
    <w:link w:val="CharStyle33"/>
    <w:pPr>
      <w:widowControl w:val="0"/>
      <w:shd w:val="clear" w:color="auto" w:fill="FFFFFF"/>
      <w:spacing w:line="0" w:lineRule="exact"/>
    </w:pPr>
    <w:rPr>
      <w:b/>
      <w:bCs/>
      <w:i w:val="0"/>
      <w:iCs w:val="0"/>
      <w:u w:val="none"/>
      <w:strike w:val="0"/>
      <w:smallCaps w:val="0"/>
      <w:sz w:val="16"/>
      <w:szCs w:val="16"/>
      <w:rFonts w:ascii="Microsoft Sans Serif" w:eastAsia="Microsoft Sans Serif" w:hAnsi="Microsoft Sans Serif" w:cs="Microsoft Sans Serif"/>
    </w:rPr>
  </w:style>
  <w:style w:type="paragraph" w:customStyle="1" w:styleId="Style40">
    <w:name w:val="Tekst treści (7)"/>
    <w:basedOn w:val="Normal"/>
    <w:link w:val="CharStyle41"/>
    <w:pPr>
      <w:widowControl w:val="0"/>
      <w:shd w:val="clear" w:color="auto" w:fill="FFFFFF"/>
      <w:spacing w:before="60" w:after="180" w:line="0" w:lineRule="exact"/>
    </w:pPr>
    <w:rPr>
      <w:b w:val="0"/>
      <w:bCs w:val="0"/>
      <w:i w:val="0"/>
      <w:iCs w:val="0"/>
      <w:u w:val="none"/>
      <w:strike w:val="0"/>
      <w:smallCaps w:val="0"/>
      <w:sz w:val="8"/>
      <w:szCs w:val="8"/>
      <w:rFonts w:ascii="Geneva" w:eastAsia="Geneva" w:hAnsi="Geneva" w:cs="Geneva"/>
    </w:rPr>
  </w:style>
  <w:style w:type="paragraph" w:customStyle="1" w:styleId="Style44">
    <w:name w:val="Tekst treści (10)"/>
    <w:basedOn w:val="Normal"/>
    <w:link w:val="CharStyle45"/>
    <w:pPr>
      <w:widowControl w:val="0"/>
      <w:shd w:val="clear" w:color="auto" w:fill="FFFFFF"/>
      <w:jc w:val="center"/>
      <w:spacing w:line="115" w:lineRule="exact"/>
    </w:pPr>
    <w:rPr>
      <w:b w:val="0"/>
      <w:bCs w:val="0"/>
      <w:i/>
      <w:iCs/>
      <w:u w:val="none"/>
      <w:strike w:val="0"/>
      <w:smallCaps w:val="0"/>
      <w:sz w:val="21"/>
      <w:szCs w:val="21"/>
      <w:rFonts w:ascii="Verdana" w:eastAsia="Verdana" w:hAnsi="Verdana" w:cs="Verdana"/>
      <w:spacing w:val="-20"/>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2.jpeg"/><Relationship Id="rId10" Type="http://schemas.openxmlformats.org/officeDocument/2006/relationships/image" Target="media/image2.jpeg" TargetMode="External"/><Relationship Id="rId11" Type="http://schemas.openxmlformats.org/officeDocument/2006/relationships/image" Target="media/image3.jpeg"/><Relationship Id="rId12" Type="http://schemas.openxmlformats.org/officeDocument/2006/relationships/image" Target="media/image3.jpeg" TargetMode="Externa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4.jpeg"/><Relationship Id="rId17" Type="http://schemas.openxmlformats.org/officeDocument/2006/relationships/image" Target="media/image4.jpeg" TargetMode="External"/><Relationship Id="rId18" Type="http://schemas.openxmlformats.org/officeDocument/2006/relationships/image" Target="media/image5.jpeg"/><Relationship Id="rId19" Type="http://schemas.openxmlformats.org/officeDocument/2006/relationships/image" Target="media/image5.jpeg" TargetMode="External"/><Relationship Id="rId20" Type="http://schemas.openxmlformats.org/officeDocument/2006/relationships/image" Target="media/image6.jpeg"/><Relationship Id="rId21" Type="http://schemas.openxmlformats.org/officeDocument/2006/relationships/image" Target="media/image6.jpeg" TargetMode="External"/><Relationship Id="rId22" Type="http://schemas.openxmlformats.org/officeDocument/2006/relationships/footer" Target="footer6.xml"/><Relationship Id="rId23" Type="http://schemas.openxmlformats.org/officeDocument/2006/relationships/footer" Target="footer7.xml"/><Relationship Id="rId24" Type="http://schemas.openxmlformats.org/officeDocument/2006/relationships/footer" Target="footer8.xml"/><Relationship Id="rId25" Type="http://schemas.openxmlformats.org/officeDocument/2006/relationships/image" Target="media/image7.jpeg"/><Relationship Id="rId26" Type="http://schemas.openxmlformats.org/officeDocument/2006/relationships/image" Target="media/image7.jpeg" TargetMode="External"/><Relationship Id="rId27" Type="http://schemas.openxmlformats.org/officeDocument/2006/relationships/image" Target="media/image8.jpeg"/><Relationship Id="rId28" Type="http://schemas.openxmlformats.org/officeDocument/2006/relationships/image" Target="media/image8.jpeg" TargetMode="External"/><Relationship Id="rId29" Type="http://schemas.openxmlformats.org/officeDocument/2006/relationships/image" Target="media/image9.jpeg"/><Relationship Id="rId30" Type="http://schemas.openxmlformats.org/officeDocument/2006/relationships/image" Target="media/image9.jpeg" TargetMode="External"/><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image" Target="media/image10.jpeg"/><Relationship Id="rId35" Type="http://schemas.openxmlformats.org/officeDocument/2006/relationships/image" Target="media/image10.jpeg" TargetMode="External"/><Relationship Id="rId36" Type="http://schemas.openxmlformats.org/officeDocument/2006/relationships/image" Target="media/image11.jpeg"/><Relationship Id="rId37" Type="http://schemas.openxmlformats.org/officeDocument/2006/relationships/image" Target="media/image11.jpeg" TargetMode="External"/><Relationship Id="rId38" Type="http://schemas.openxmlformats.org/officeDocument/2006/relationships/image" Target="media/image12.jpeg"/><Relationship Id="rId39" Type="http://schemas.openxmlformats.org/officeDocument/2006/relationships/image" Target="media/image12.jpeg" TargetMode="External"/><Relationship Id="rId40" Type="http://schemas.openxmlformats.org/officeDocument/2006/relationships/footer" Target="footer12.xml"/><Relationship Id="rId41" Type="http://schemas.openxmlformats.org/officeDocument/2006/relationships/footer" Target="footer13.xml"/><Relationship Id="rId42" Type="http://schemas.openxmlformats.org/officeDocument/2006/relationships/footer" Target="footer14.xml"/></Relationships>
</file>